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sz w:val="24"/>
          <w:szCs w:val="24"/>
        </w:rPr>
      </w:pPr>
      <w:r w:rsidRPr="00E70678">
        <w:rPr>
          <w:rFonts w:ascii="Century Gothic" w:hAnsi="Century Gothic" w:cs="Arial"/>
          <w:sz w:val="24"/>
          <w:szCs w:val="24"/>
        </w:rPr>
        <w:t xml:space="preserve">V sklopu izvedbe vmesnega vrednotenja Partnerstva LAS Zasavje na presečni mejnik 31.12.2018 smo analizirali sledeče podatke: </w:t>
      </w: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pStyle w:val="Odstavekseznama"/>
        <w:widowControl w:val="0"/>
        <w:numPr>
          <w:ilvl w:val="0"/>
          <w:numId w:val="1"/>
        </w:numPr>
        <w:tabs>
          <w:tab w:val="left" w:pos="1544"/>
        </w:tabs>
        <w:autoSpaceDE w:val="0"/>
        <w:autoSpaceDN w:val="0"/>
        <w:adjustRightInd w:val="0"/>
        <w:spacing w:after="0" w:line="276" w:lineRule="auto"/>
        <w:jc w:val="both"/>
        <w:rPr>
          <w:rFonts w:ascii="Century Gothic" w:hAnsi="Century Gothic" w:cs="Arial"/>
          <w:b/>
          <w:bCs/>
          <w:sz w:val="24"/>
          <w:szCs w:val="24"/>
        </w:rPr>
      </w:pPr>
      <w:r w:rsidRPr="00E70678">
        <w:rPr>
          <w:rFonts w:ascii="Century Gothic" w:hAnsi="Century Gothic" w:cs="Arial"/>
          <w:b/>
          <w:bCs/>
          <w:sz w:val="24"/>
          <w:szCs w:val="24"/>
        </w:rPr>
        <w:t>REALIZACIJA KORIŠČENJA SREDSTEV (GLEDE NA ODOBRENI FINANČNI OKVIR V SLR)</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spacing w:after="0" w:line="240" w:lineRule="auto"/>
        <w:jc w:val="both"/>
        <w:rPr>
          <w:rFonts w:ascii="Century Gothic" w:hAnsi="Century Gothic" w:cs="Calibri"/>
          <w:color w:val="000000"/>
          <w:sz w:val="24"/>
          <w:szCs w:val="24"/>
          <w:lang w:val="en-GB"/>
        </w:rPr>
      </w:pPr>
      <w:r w:rsidRPr="00E70678">
        <w:rPr>
          <w:rFonts w:ascii="Century Gothic" w:hAnsi="Century Gothic" w:cs="Calibri"/>
          <w:color w:val="000000"/>
          <w:sz w:val="24"/>
          <w:szCs w:val="24"/>
          <w:lang w:val="en-GB"/>
        </w:rPr>
        <w:t xml:space="preserve">V </w:t>
      </w:r>
      <w:proofErr w:type="spellStart"/>
      <w:r w:rsidRPr="00E70678">
        <w:rPr>
          <w:rFonts w:ascii="Century Gothic" w:hAnsi="Century Gothic" w:cs="Calibri"/>
          <w:color w:val="000000"/>
          <w:sz w:val="24"/>
          <w:szCs w:val="24"/>
          <w:lang w:val="en-GB"/>
        </w:rPr>
        <w:t>spodnji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tabeli</w:t>
      </w:r>
      <w:proofErr w:type="spellEnd"/>
      <w:r w:rsidRPr="00E70678">
        <w:rPr>
          <w:rFonts w:ascii="Century Gothic" w:hAnsi="Century Gothic" w:cs="Calibri"/>
          <w:color w:val="000000"/>
          <w:sz w:val="24"/>
          <w:szCs w:val="24"/>
          <w:lang w:val="en-GB"/>
        </w:rPr>
        <w:t xml:space="preserve"> so </w:t>
      </w:r>
      <w:proofErr w:type="spellStart"/>
      <w:r w:rsidRPr="00E70678">
        <w:rPr>
          <w:rFonts w:ascii="Century Gothic" w:hAnsi="Century Gothic" w:cs="Calibri"/>
          <w:color w:val="000000"/>
          <w:sz w:val="24"/>
          <w:szCs w:val="24"/>
          <w:lang w:val="en-GB"/>
        </w:rPr>
        <w:t>navedeni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podatki</w:t>
      </w:r>
      <w:proofErr w:type="spellEnd"/>
      <w:r w:rsidRPr="00E70678">
        <w:rPr>
          <w:rFonts w:ascii="Century Gothic" w:hAnsi="Century Gothic" w:cs="Calibri"/>
          <w:color w:val="000000"/>
          <w:sz w:val="24"/>
          <w:szCs w:val="24"/>
          <w:lang w:val="en-GB"/>
        </w:rPr>
        <w:t xml:space="preserve"> glede </w:t>
      </w:r>
      <w:proofErr w:type="spellStart"/>
      <w:r w:rsidRPr="00E70678">
        <w:rPr>
          <w:rFonts w:ascii="Century Gothic" w:hAnsi="Century Gothic" w:cs="Calibri"/>
          <w:color w:val="000000"/>
          <w:sz w:val="24"/>
          <w:szCs w:val="24"/>
          <w:lang w:val="en-GB"/>
        </w:rPr>
        <w:t>realizacije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koriščenja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sredstev</w:t>
      </w:r>
      <w:proofErr w:type="spellEnd"/>
      <w:r w:rsidRPr="00E70678">
        <w:rPr>
          <w:rFonts w:ascii="Century Gothic" w:hAnsi="Century Gothic" w:cs="Calibri"/>
          <w:color w:val="000000"/>
          <w:sz w:val="24"/>
          <w:szCs w:val="24"/>
          <w:lang w:val="en-GB"/>
        </w:rPr>
        <w:t xml:space="preserve"> po </w:t>
      </w:r>
      <w:proofErr w:type="spellStart"/>
      <w:r w:rsidRPr="00E70678">
        <w:rPr>
          <w:rFonts w:ascii="Century Gothic" w:hAnsi="Century Gothic" w:cs="Calibri"/>
          <w:color w:val="000000"/>
          <w:sz w:val="24"/>
          <w:szCs w:val="24"/>
          <w:lang w:val="en-GB"/>
        </w:rPr>
        <w:t>posameznih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podukrepih</w:t>
      </w:r>
      <w:proofErr w:type="spellEnd"/>
      <w:r w:rsidRPr="00E70678">
        <w:rPr>
          <w:rFonts w:ascii="Century Gothic" w:hAnsi="Century Gothic" w:cs="Calibri"/>
          <w:color w:val="000000"/>
          <w:sz w:val="24"/>
          <w:szCs w:val="24"/>
          <w:lang w:val="en-GB"/>
        </w:rPr>
        <w:t xml:space="preserve"> do </w:t>
      </w:r>
      <w:proofErr w:type="spellStart"/>
      <w:r w:rsidRPr="00E70678">
        <w:rPr>
          <w:rFonts w:ascii="Century Gothic" w:hAnsi="Century Gothic" w:cs="Calibri"/>
          <w:color w:val="000000"/>
          <w:sz w:val="24"/>
          <w:szCs w:val="24"/>
          <w:lang w:val="en-GB"/>
        </w:rPr>
        <w:t>konca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leta</w:t>
      </w:r>
      <w:proofErr w:type="spellEnd"/>
      <w:r w:rsidRPr="00E70678">
        <w:rPr>
          <w:rFonts w:ascii="Century Gothic" w:hAnsi="Century Gothic" w:cs="Calibri"/>
          <w:color w:val="000000"/>
          <w:sz w:val="24"/>
          <w:szCs w:val="24"/>
          <w:lang w:val="en-GB"/>
        </w:rPr>
        <w:t xml:space="preserve"> 2018 (glede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določen</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finančni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okvir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Partnerstva</w:t>
      </w:r>
      <w:proofErr w:type="spellEnd"/>
      <w:r w:rsidRPr="00E70678">
        <w:rPr>
          <w:rFonts w:ascii="Century Gothic" w:hAnsi="Century Gothic" w:cs="Calibri"/>
          <w:color w:val="000000"/>
          <w:sz w:val="24"/>
          <w:szCs w:val="24"/>
          <w:lang w:val="en-GB"/>
        </w:rPr>
        <w:t xml:space="preserve"> LAS </w:t>
      </w:r>
      <w:proofErr w:type="spellStart"/>
      <w:r w:rsidRPr="00E70678">
        <w:rPr>
          <w:rFonts w:ascii="Century Gothic" w:hAnsi="Century Gothic" w:cs="Calibri"/>
          <w:color w:val="000000"/>
          <w:sz w:val="24"/>
          <w:szCs w:val="24"/>
          <w:lang w:val="en-GB"/>
        </w:rPr>
        <w:t>Zasavje</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Strategiji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lokalnega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razvoja</w:t>
      </w:r>
      <w:proofErr w:type="spellEnd"/>
      <w:r w:rsidRPr="00E70678">
        <w:rPr>
          <w:rFonts w:ascii="Century Gothic" w:hAnsi="Century Gothic" w:cs="Calibri"/>
          <w:color w:val="000000"/>
          <w:sz w:val="24"/>
          <w:szCs w:val="24"/>
          <w:lang w:val="en-GB"/>
        </w:rPr>
        <w:t xml:space="preserve">). </w:t>
      </w:r>
    </w:p>
    <w:p w:rsidR="00E70678" w:rsidRDefault="00E70678" w:rsidP="00E70678">
      <w:pPr>
        <w:spacing w:after="0" w:line="240" w:lineRule="auto"/>
        <w:jc w:val="both"/>
        <w:rPr>
          <w:rFonts w:ascii="Century Gothic" w:hAnsi="Century Gothic" w:cs="Calibri"/>
          <w:color w:val="000000"/>
          <w:sz w:val="24"/>
          <w:szCs w:val="24"/>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p>
    <w:p w:rsidR="00E70678" w:rsidRDefault="00E70678" w:rsidP="00E70678">
      <w:pPr>
        <w:spacing w:after="0" w:line="240" w:lineRule="auto"/>
        <w:jc w:val="both"/>
        <w:rPr>
          <w:rFonts w:ascii="Century Gothic" w:hAnsi="Century Gothic" w:cs="Calibri"/>
          <w:color w:val="000000"/>
          <w:sz w:val="20"/>
          <w:szCs w:val="20"/>
          <w:lang w:val="en-GB"/>
        </w:rPr>
      </w:pPr>
    </w:p>
    <w:tbl>
      <w:tblPr>
        <w:tblW w:w="9079" w:type="dxa"/>
        <w:tblCellMar>
          <w:left w:w="70" w:type="dxa"/>
          <w:right w:w="70" w:type="dxa"/>
        </w:tblCellMar>
        <w:tblLook w:val="04A0" w:firstRow="1" w:lastRow="0" w:firstColumn="1" w:lastColumn="0" w:noHBand="0" w:noVBand="1"/>
      </w:tblPr>
      <w:tblGrid>
        <w:gridCol w:w="2761"/>
        <w:gridCol w:w="2603"/>
        <w:gridCol w:w="2371"/>
        <w:gridCol w:w="1344"/>
      </w:tblGrid>
      <w:tr w:rsidR="00E70678" w:rsidTr="008345E9">
        <w:trPr>
          <w:trHeight w:val="336"/>
        </w:trPr>
        <w:tc>
          <w:tcPr>
            <w:tcW w:w="7735" w:type="dxa"/>
            <w:gridSpan w:val="3"/>
            <w:noWrap/>
            <w:vAlign w:val="bottom"/>
            <w:hideMark/>
          </w:tcPr>
          <w:p w:rsid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Tabela: Realizacija sredstev do leta 2018 (glede na finančni okvir)</w:t>
            </w:r>
          </w:p>
          <w:p w:rsidR="00E70678" w:rsidRPr="00E70678" w:rsidRDefault="00E70678" w:rsidP="008345E9">
            <w:pPr>
              <w:spacing w:after="0" w:line="240" w:lineRule="auto"/>
              <w:rPr>
                <w:rFonts w:ascii="Century Gothic" w:hAnsi="Century Gothic" w:cs="Calibri"/>
                <w:b/>
                <w:bCs/>
                <w:color w:val="000000"/>
              </w:rPr>
            </w:pPr>
          </w:p>
        </w:tc>
        <w:tc>
          <w:tcPr>
            <w:tcW w:w="1344" w:type="dxa"/>
            <w:noWrap/>
            <w:vAlign w:val="bottom"/>
            <w:hideMark/>
          </w:tcPr>
          <w:p w:rsidR="00E70678" w:rsidRDefault="00E70678" w:rsidP="008345E9">
            <w:pPr>
              <w:rPr>
                <w:rFonts w:ascii="Arial Narrow" w:hAnsi="Arial Narrow" w:cs="Calibri"/>
                <w:b/>
                <w:bCs/>
                <w:color w:val="000000"/>
              </w:rPr>
            </w:pPr>
          </w:p>
        </w:tc>
      </w:tr>
      <w:tr w:rsidR="00E70678" w:rsidTr="008345E9">
        <w:trPr>
          <w:trHeight w:val="336"/>
        </w:trPr>
        <w:tc>
          <w:tcPr>
            <w:tcW w:w="2761" w:type="dxa"/>
            <w:noWrap/>
            <w:vAlign w:val="bottom"/>
            <w:hideMark/>
          </w:tcPr>
          <w:p w:rsidR="00E70678" w:rsidRDefault="00E70678" w:rsidP="008345E9">
            <w:pPr>
              <w:spacing w:after="0"/>
              <w:rPr>
                <w:sz w:val="20"/>
                <w:szCs w:val="20"/>
              </w:rPr>
            </w:pPr>
          </w:p>
        </w:tc>
        <w:tc>
          <w:tcPr>
            <w:tcW w:w="2603" w:type="dxa"/>
            <w:noWrap/>
            <w:vAlign w:val="bottom"/>
            <w:hideMark/>
          </w:tcPr>
          <w:p w:rsidR="00E70678" w:rsidRDefault="00E70678" w:rsidP="008345E9">
            <w:pPr>
              <w:spacing w:after="0"/>
              <w:rPr>
                <w:sz w:val="20"/>
                <w:szCs w:val="20"/>
              </w:rPr>
            </w:pPr>
          </w:p>
        </w:tc>
        <w:tc>
          <w:tcPr>
            <w:tcW w:w="2371" w:type="dxa"/>
            <w:noWrap/>
            <w:vAlign w:val="bottom"/>
            <w:hideMark/>
          </w:tcPr>
          <w:p w:rsidR="00E70678" w:rsidRDefault="00E70678" w:rsidP="008345E9">
            <w:pPr>
              <w:spacing w:after="0"/>
              <w:rPr>
                <w:sz w:val="20"/>
                <w:szCs w:val="20"/>
              </w:rPr>
            </w:pPr>
          </w:p>
        </w:tc>
        <w:tc>
          <w:tcPr>
            <w:tcW w:w="1344" w:type="dxa"/>
            <w:noWrap/>
            <w:vAlign w:val="bottom"/>
            <w:hideMark/>
          </w:tcPr>
          <w:p w:rsidR="00E70678" w:rsidRDefault="00E70678" w:rsidP="008345E9">
            <w:pPr>
              <w:spacing w:after="0"/>
              <w:rPr>
                <w:sz w:val="20"/>
                <w:szCs w:val="20"/>
              </w:rPr>
            </w:pPr>
          </w:p>
        </w:tc>
      </w:tr>
      <w:tr w:rsidR="00E70678" w:rsidTr="008345E9">
        <w:trPr>
          <w:trHeight w:val="336"/>
        </w:trPr>
        <w:tc>
          <w:tcPr>
            <w:tcW w:w="276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E70678" w:rsidRPr="00FF6AEA" w:rsidRDefault="00E70678" w:rsidP="008345E9">
            <w:pPr>
              <w:spacing w:after="0" w:line="240" w:lineRule="auto"/>
              <w:rPr>
                <w:rFonts w:ascii="Century Gothic" w:hAnsi="Century Gothic" w:cs="Calibri"/>
                <w:b/>
                <w:bCs/>
                <w:color w:val="000000"/>
              </w:rPr>
            </w:pPr>
            <w:r w:rsidRPr="00FF6AEA">
              <w:rPr>
                <w:rFonts w:ascii="Century Gothic" w:hAnsi="Century Gothic" w:cs="Calibri"/>
                <w:b/>
                <w:bCs/>
                <w:color w:val="000000"/>
              </w:rPr>
              <w:t>PODUKREP</w:t>
            </w:r>
          </w:p>
        </w:tc>
        <w:tc>
          <w:tcPr>
            <w:tcW w:w="2603" w:type="dxa"/>
            <w:tcBorders>
              <w:top w:val="single" w:sz="4" w:space="0" w:color="auto"/>
              <w:left w:val="nil"/>
              <w:bottom w:val="single" w:sz="4" w:space="0" w:color="auto"/>
              <w:right w:val="single" w:sz="4" w:space="0" w:color="auto"/>
            </w:tcBorders>
            <w:shd w:val="clear" w:color="auto" w:fill="FFFF00"/>
            <w:noWrap/>
            <w:vAlign w:val="bottom"/>
            <w:hideMark/>
          </w:tcPr>
          <w:p w:rsidR="00E70678" w:rsidRPr="00FF6AEA" w:rsidRDefault="00E70678" w:rsidP="008345E9">
            <w:pPr>
              <w:spacing w:after="0" w:line="240" w:lineRule="auto"/>
              <w:rPr>
                <w:rFonts w:ascii="Century Gothic" w:hAnsi="Century Gothic" w:cs="Calibri"/>
                <w:b/>
                <w:bCs/>
                <w:color w:val="000000"/>
              </w:rPr>
            </w:pPr>
            <w:r w:rsidRPr="00FF6AEA">
              <w:rPr>
                <w:rFonts w:ascii="Century Gothic" w:hAnsi="Century Gothic" w:cs="Calibri"/>
                <w:b/>
                <w:bCs/>
                <w:color w:val="000000"/>
              </w:rPr>
              <w:t>FINANČNI OKVIR (PO SLR)</w:t>
            </w:r>
          </w:p>
        </w:tc>
        <w:tc>
          <w:tcPr>
            <w:tcW w:w="2371" w:type="dxa"/>
            <w:tcBorders>
              <w:top w:val="single" w:sz="4" w:space="0" w:color="auto"/>
              <w:left w:val="nil"/>
              <w:bottom w:val="single" w:sz="4" w:space="0" w:color="auto"/>
              <w:right w:val="single" w:sz="4" w:space="0" w:color="auto"/>
            </w:tcBorders>
            <w:shd w:val="clear" w:color="auto" w:fill="FFFF00"/>
            <w:noWrap/>
            <w:vAlign w:val="bottom"/>
            <w:hideMark/>
          </w:tcPr>
          <w:p w:rsidR="00E70678" w:rsidRPr="00FF6AEA" w:rsidRDefault="00E70678" w:rsidP="008345E9">
            <w:pPr>
              <w:spacing w:after="0" w:line="240" w:lineRule="auto"/>
              <w:rPr>
                <w:rFonts w:ascii="Century Gothic" w:hAnsi="Century Gothic" w:cs="Calibri"/>
                <w:b/>
                <w:bCs/>
                <w:color w:val="000000"/>
              </w:rPr>
            </w:pPr>
            <w:r w:rsidRPr="00FF6AEA">
              <w:rPr>
                <w:rFonts w:ascii="Century Gothic" w:hAnsi="Century Gothic" w:cs="Calibri"/>
                <w:b/>
                <w:bCs/>
                <w:color w:val="000000"/>
              </w:rPr>
              <w:t>KORIŠČENA SREDSTVA</w:t>
            </w:r>
          </w:p>
        </w:tc>
        <w:tc>
          <w:tcPr>
            <w:tcW w:w="1344" w:type="dxa"/>
            <w:tcBorders>
              <w:top w:val="single" w:sz="4" w:space="0" w:color="auto"/>
              <w:left w:val="nil"/>
              <w:bottom w:val="single" w:sz="4" w:space="0" w:color="auto"/>
              <w:right w:val="single" w:sz="4" w:space="0" w:color="auto"/>
            </w:tcBorders>
            <w:shd w:val="clear" w:color="auto" w:fill="FFFF00"/>
            <w:noWrap/>
            <w:vAlign w:val="bottom"/>
            <w:hideMark/>
          </w:tcPr>
          <w:p w:rsidR="00E70678" w:rsidRPr="00FF6AEA" w:rsidRDefault="00E70678" w:rsidP="008345E9">
            <w:pPr>
              <w:spacing w:after="0" w:line="240" w:lineRule="auto"/>
              <w:rPr>
                <w:rFonts w:ascii="Century Gothic" w:hAnsi="Century Gothic" w:cs="Calibri"/>
                <w:b/>
                <w:bCs/>
                <w:color w:val="000000"/>
              </w:rPr>
            </w:pPr>
            <w:r w:rsidRPr="00FF6AEA">
              <w:rPr>
                <w:rFonts w:ascii="Century Gothic" w:hAnsi="Century Gothic" w:cs="Calibri"/>
                <w:b/>
                <w:bCs/>
                <w:color w:val="000000"/>
              </w:rPr>
              <w:t xml:space="preserve">% koriščenja </w:t>
            </w:r>
          </w:p>
        </w:tc>
      </w:tr>
      <w:tr w:rsidR="00E70678" w:rsidTr="008345E9">
        <w:trPr>
          <w:trHeight w:val="336"/>
        </w:trPr>
        <w:tc>
          <w:tcPr>
            <w:tcW w:w="2761" w:type="dxa"/>
            <w:tcBorders>
              <w:top w:val="nil"/>
              <w:left w:val="single" w:sz="4" w:space="0" w:color="auto"/>
              <w:bottom w:val="single" w:sz="4" w:space="0" w:color="auto"/>
              <w:right w:val="single" w:sz="4" w:space="0" w:color="auto"/>
            </w:tcBorders>
            <w:noWrap/>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color w:val="000000"/>
              </w:rPr>
              <w:t>Pripravljalna podpora (SLR)</w:t>
            </w:r>
          </w:p>
        </w:tc>
        <w:tc>
          <w:tcPr>
            <w:tcW w:w="2603"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20.000 €</w:t>
            </w:r>
          </w:p>
        </w:tc>
        <w:tc>
          <w:tcPr>
            <w:tcW w:w="2371"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20.000 €</w:t>
            </w:r>
          </w:p>
        </w:tc>
        <w:tc>
          <w:tcPr>
            <w:tcW w:w="1344"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100,00%</w:t>
            </w:r>
          </w:p>
        </w:tc>
      </w:tr>
      <w:tr w:rsidR="00E70678" w:rsidTr="008345E9">
        <w:trPr>
          <w:trHeight w:val="672"/>
        </w:trPr>
        <w:tc>
          <w:tcPr>
            <w:tcW w:w="2761" w:type="dxa"/>
            <w:tcBorders>
              <w:top w:val="nil"/>
              <w:left w:val="single" w:sz="4" w:space="0" w:color="auto"/>
              <w:bottom w:val="single" w:sz="4" w:space="0" w:color="auto"/>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color w:val="000000"/>
              </w:rPr>
              <w:t>Podpira za izvajanje operacij v okviru SLR - EKSRP sklad</w:t>
            </w:r>
          </w:p>
        </w:tc>
        <w:tc>
          <w:tcPr>
            <w:tcW w:w="2603"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698.385.19 €</w:t>
            </w:r>
          </w:p>
        </w:tc>
        <w:tc>
          <w:tcPr>
            <w:tcW w:w="2371"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591.091,08 €</w:t>
            </w:r>
          </w:p>
        </w:tc>
        <w:tc>
          <w:tcPr>
            <w:tcW w:w="1344"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84,60%</w:t>
            </w:r>
          </w:p>
        </w:tc>
      </w:tr>
      <w:tr w:rsidR="00E70678" w:rsidTr="008345E9">
        <w:trPr>
          <w:trHeight w:val="672"/>
        </w:trPr>
        <w:tc>
          <w:tcPr>
            <w:tcW w:w="2761" w:type="dxa"/>
            <w:tcBorders>
              <w:top w:val="nil"/>
              <w:left w:val="single" w:sz="4" w:space="0" w:color="auto"/>
              <w:bottom w:val="single" w:sz="4" w:space="0" w:color="auto"/>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color w:val="000000"/>
              </w:rPr>
              <w:t>Podpira za izvajanje operacij v okviru SLR - ESRR sklad</w:t>
            </w:r>
          </w:p>
        </w:tc>
        <w:tc>
          <w:tcPr>
            <w:tcW w:w="2603"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405.717,62 €</w:t>
            </w:r>
          </w:p>
        </w:tc>
        <w:tc>
          <w:tcPr>
            <w:tcW w:w="2371"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284.272,02 €</w:t>
            </w:r>
          </w:p>
        </w:tc>
        <w:tc>
          <w:tcPr>
            <w:tcW w:w="1344"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70,07%</w:t>
            </w:r>
          </w:p>
        </w:tc>
      </w:tr>
      <w:tr w:rsidR="00E70678" w:rsidTr="008345E9">
        <w:trPr>
          <w:trHeight w:val="1008"/>
        </w:trPr>
        <w:tc>
          <w:tcPr>
            <w:tcW w:w="2761" w:type="dxa"/>
            <w:tcBorders>
              <w:top w:val="nil"/>
              <w:left w:val="single" w:sz="4" w:space="0" w:color="auto"/>
              <w:bottom w:val="single" w:sz="4" w:space="0" w:color="auto"/>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color w:val="000000"/>
              </w:rPr>
              <w:t xml:space="preserve">Priprava in izvajanje dejavnosti sodelovanja lokalne akcijske skupine </w:t>
            </w:r>
          </w:p>
        </w:tc>
        <w:tc>
          <w:tcPr>
            <w:tcW w:w="2603"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21.353,53 €</w:t>
            </w:r>
          </w:p>
        </w:tc>
        <w:tc>
          <w:tcPr>
            <w:tcW w:w="2371"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20.916,03 €</w:t>
            </w:r>
          </w:p>
        </w:tc>
        <w:tc>
          <w:tcPr>
            <w:tcW w:w="1344"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97,95%</w:t>
            </w:r>
          </w:p>
        </w:tc>
      </w:tr>
      <w:tr w:rsidR="00E70678" w:rsidTr="008345E9">
        <w:trPr>
          <w:trHeight w:val="672"/>
        </w:trPr>
        <w:tc>
          <w:tcPr>
            <w:tcW w:w="2761" w:type="dxa"/>
            <w:tcBorders>
              <w:top w:val="nil"/>
              <w:left w:val="single" w:sz="4" w:space="0" w:color="auto"/>
              <w:bottom w:val="single" w:sz="4" w:space="0" w:color="auto"/>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color w:val="000000"/>
              </w:rPr>
              <w:t xml:space="preserve">Podpora za tekoče stroške in stroške animacije </w:t>
            </w:r>
          </w:p>
        </w:tc>
        <w:tc>
          <w:tcPr>
            <w:tcW w:w="2603"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281.364,08 €</w:t>
            </w:r>
          </w:p>
        </w:tc>
        <w:tc>
          <w:tcPr>
            <w:tcW w:w="2371"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117.461,00 €</w:t>
            </w:r>
          </w:p>
        </w:tc>
        <w:tc>
          <w:tcPr>
            <w:tcW w:w="1344" w:type="dxa"/>
            <w:tcBorders>
              <w:top w:val="nil"/>
              <w:left w:val="nil"/>
              <w:bottom w:val="single" w:sz="4" w:space="0" w:color="auto"/>
              <w:right w:val="single" w:sz="4" w:space="0" w:color="auto"/>
            </w:tcBorders>
            <w:noWrap/>
            <w:vAlign w:val="bottom"/>
            <w:hideMark/>
          </w:tcPr>
          <w:p w:rsidR="00E70678" w:rsidRPr="00FF6AEA" w:rsidRDefault="00E70678" w:rsidP="008345E9">
            <w:pPr>
              <w:spacing w:after="0" w:line="240" w:lineRule="auto"/>
              <w:jc w:val="right"/>
              <w:rPr>
                <w:rFonts w:ascii="Century Gothic" w:hAnsi="Century Gothic" w:cs="Calibri"/>
                <w:color w:val="000000"/>
              </w:rPr>
            </w:pPr>
            <w:r w:rsidRPr="00FF6AEA">
              <w:rPr>
                <w:rFonts w:ascii="Century Gothic" w:hAnsi="Century Gothic" w:cs="Calibri"/>
                <w:color w:val="000000"/>
              </w:rPr>
              <w:t>41,75%</w:t>
            </w:r>
          </w:p>
        </w:tc>
      </w:tr>
      <w:tr w:rsidR="00E70678" w:rsidTr="008345E9">
        <w:trPr>
          <w:trHeight w:val="305"/>
        </w:trPr>
        <w:tc>
          <w:tcPr>
            <w:tcW w:w="2761" w:type="dxa"/>
            <w:noWrap/>
            <w:vAlign w:val="bottom"/>
            <w:hideMark/>
          </w:tcPr>
          <w:p w:rsidR="00E70678" w:rsidRDefault="00E70678" w:rsidP="008345E9">
            <w:pPr>
              <w:rPr>
                <w:rFonts w:ascii="Arial Narrow" w:hAnsi="Arial Narrow" w:cs="Calibri"/>
                <w:color w:val="000000"/>
              </w:rPr>
            </w:pPr>
          </w:p>
        </w:tc>
        <w:tc>
          <w:tcPr>
            <w:tcW w:w="2603" w:type="dxa"/>
            <w:noWrap/>
            <w:vAlign w:val="bottom"/>
            <w:hideMark/>
          </w:tcPr>
          <w:p w:rsidR="00E70678" w:rsidRDefault="00E70678" w:rsidP="008345E9">
            <w:pPr>
              <w:spacing w:after="0"/>
              <w:rPr>
                <w:sz w:val="20"/>
                <w:szCs w:val="20"/>
              </w:rPr>
            </w:pPr>
          </w:p>
        </w:tc>
        <w:tc>
          <w:tcPr>
            <w:tcW w:w="2371" w:type="dxa"/>
            <w:noWrap/>
            <w:vAlign w:val="bottom"/>
            <w:hideMark/>
          </w:tcPr>
          <w:p w:rsidR="00E70678" w:rsidRDefault="00E70678" w:rsidP="008345E9">
            <w:pPr>
              <w:spacing w:after="0"/>
              <w:rPr>
                <w:sz w:val="20"/>
                <w:szCs w:val="20"/>
              </w:rPr>
            </w:pPr>
          </w:p>
        </w:tc>
        <w:tc>
          <w:tcPr>
            <w:tcW w:w="1344" w:type="dxa"/>
            <w:noWrap/>
            <w:vAlign w:val="bottom"/>
            <w:hideMark/>
          </w:tcPr>
          <w:p w:rsidR="00E70678" w:rsidRDefault="00E70678" w:rsidP="008345E9">
            <w:pPr>
              <w:spacing w:after="0"/>
              <w:rPr>
                <w:sz w:val="20"/>
                <w:szCs w:val="20"/>
              </w:rPr>
            </w:pPr>
          </w:p>
        </w:tc>
      </w:tr>
      <w:tr w:rsidR="00E70678" w:rsidTr="008345E9">
        <w:trPr>
          <w:trHeight w:val="336"/>
        </w:trPr>
        <w:tc>
          <w:tcPr>
            <w:tcW w:w="2761" w:type="dxa"/>
            <w:tcBorders>
              <w:top w:val="nil"/>
              <w:left w:val="nil"/>
              <w:bottom w:val="single" w:sz="4" w:space="0" w:color="auto"/>
              <w:right w:val="nil"/>
            </w:tcBorders>
            <w:vAlign w:val="bottom"/>
            <w:hideMark/>
          </w:tcPr>
          <w:p w:rsidR="00E70678" w:rsidRPr="00FF6AEA" w:rsidRDefault="00E70678" w:rsidP="008345E9">
            <w:pPr>
              <w:spacing w:after="0" w:line="240" w:lineRule="auto"/>
              <w:rPr>
                <w:rFonts w:ascii="Century Gothic" w:hAnsi="Century Gothic" w:cs="Calibri"/>
                <w:b/>
                <w:bCs/>
                <w:color w:val="000000"/>
              </w:rPr>
            </w:pPr>
            <w:r w:rsidRPr="00FF6AEA">
              <w:rPr>
                <w:rFonts w:ascii="Century Gothic" w:hAnsi="Century Gothic" w:cs="Calibri"/>
                <w:b/>
                <w:bCs/>
                <w:color w:val="000000"/>
              </w:rPr>
              <w:t xml:space="preserve">LEGENDA: </w:t>
            </w:r>
          </w:p>
        </w:tc>
        <w:tc>
          <w:tcPr>
            <w:tcW w:w="2603" w:type="dxa"/>
            <w:noWrap/>
            <w:vAlign w:val="bottom"/>
            <w:hideMark/>
          </w:tcPr>
          <w:p w:rsidR="00E70678" w:rsidRDefault="00E70678" w:rsidP="008345E9">
            <w:pPr>
              <w:rPr>
                <w:rFonts w:ascii="Arial Narrow" w:hAnsi="Arial Narrow" w:cs="Calibri"/>
                <w:b/>
                <w:bCs/>
                <w:color w:val="000000"/>
              </w:rPr>
            </w:pPr>
          </w:p>
        </w:tc>
        <w:tc>
          <w:tcPr>
            <w:tcW w:w="2371" w:type="dxa"/>
            <w:noWrap/>
            <w:vAlign w:val="bottom"/>
            <w:hideMark/>
          </w:tcPr>
          <w:p w:rsidR="00E70678" w:rsidRDefault="00E70678" w:rsidP="008345E9">
            <w:pPr>
              <w:spacing w:after="0"/>
              <w:rPr>
                <w:sz w:val="20"/>
                <w:szCs w:val="20"/>
              </w:rPr>
            </w:pPr>
          </w:p>
        </w:tc>
        <w:tc>
          <w:tcPr>
            <w:tcW w:w="1344" w:type="dxa"/>
            <w:noWrap/>
            <w:vAlign w:val="bottom"/>
            <w:hideMark/>
          </w:tcPr>
          <w:p w:rsidR="00E70678" w:rsidRDefault="00E70678" w:rsidP="008345E9">
            <w:pPr>
              <w:spacing w:after="0"/>
              <w:rPr>
                <w:sz w:val="20"/>
                <w:szCs w:val="20"/>
              </w:rPr>
            </w:pPr>
          </w:p>
        </w:tc>
      </w:tr>
      <w:tr w:rsidR="00E70678" w:rsidTr="008345E9">
        <w:trPr>
          <w:trHeight w:val="1008"/>
        </w:trPr>
        <w:tc>
          <w:tcPr>
            <w:tcW w:w="2761" w:type="dxa"/>
            <w:tcBorders>
              <w:top w:val="single" w:sz="4" w:space="0" w:color="auto"/>
              <w:left w:val="single" w:sz="4" w:space="0" w:color="auto"/>
              <w:bottom w:val="nil"/>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b/>
                <w:bCs/>
                <w:color w:val="000000"/>
              </w:rPr>
              <w:t xml:space="preserve">FINANČNI OKVIR </w:t>
            </w:r>
            <w:r w:rsidRPr="00FF6AEA">
              <w:rPr>
                <w:rFonts w:ascii="Century Gothic" w:hAnsi="Century Gothic" w:cs="Calibri"/>
                <w:color w:val="000000"/>
              </w:rPr>
              <w:t xml:space="preserve">- finančna sredstva, določena po Strategiji lokalnega razvoja </w:t>
            </w:r>
          </w:p>
        </w:tc>
        <w:tc>
          <w:tcPr>
            <w:tcW w:w="2603" w:type="dxa"/>
            <w:tcBorders>
              <w:top w:val="nil"/>
              <w:left w:val="single" w:sz="4" w:space="0" w:color="auto"/>
              <w:bottom w:val="nil"/>
              <w:right w:val="nil"/>
            </w:tcBorders>
            <w:noWrap/>
            <w:vAlign w:val="bottom"/>
            <w:hideMark/>
          </w:tcPr>
          <w:p w:rsidR="00E70678" w:rsidRDefault="00E70678" w:rsidP="008345E9">
            <w:pPr>
              <w:rPr>
                <w:rFonts w:ascii="Arial Narrow" w:hAnsi="Arial Narrow" w:cs="Calibri"/>
                <w:color w:val="000000"/>
              </w:rPr>
            </w:pPr>
          </w:p>
        </w:tc>
        <w:tc>
          <w:tcPr>
            <w:tcW w:w="2371" w:type="dxa"/>
            <w:noWrap/>
            <w:vAlign w:val="bottom"/>
            <w:hideMark/>
          </w:tcPr>
          <w:p w:rsidR="00E70678" w:rsidRDefault="00E70678" w:rsidP="008345E9">
            <w:pPr>
              <w:spacing w:after="0"/>
              <w:rPr>
                <w:sz w:val="20"/>
                <w:szCs w:val="20"/>
              </w:rPr>
            </w:pPr>
          </w:p>
        </w:tc>
        <w:tc>
          <w:tcPr>
            <w:tcW w:w="1344" w:type="dxa"/>
            <w:noWrap/>
            <w:vAlign w:val="bottom"/>
            <w:hideMark/>
          </w:tcPr>
          <w:p w:rsidR="00E70678" w:rsidRDefault="00E70678" w:rsidP="008345E9">
            <w:pPr>
              <w:spacing w:after="0"/>
              <w:rPr>
                <w:sz w:val="20"/>
                <w:szCs w:val="20"/>
              </w:rPr>
            </w:pPr>
          </w:p>
        </w:tc>
      </w:tr>
      <w:tr w:rsidR="00E70678" w:rsidTr="008345E9">
        <w:trPr>
          <w:trHeight w:val="1344"/>
        </w:trPr>
        <w:tc>
          <w:tcPr>
            <w:tcW w:w="2761" w:type="dxa"/>
            <w:tcBorders>
              <w:top w:val="nil"/>
              <w:left w:val="single" w:sz="4" w:space="0" w:color="auto"/>
              <w:bottom w:val="single" w:sz="4" w:space="0" w:color="auto"/>
              <w:right w:val="single" w:sz="4" w:space="0" w:color="auto"/>
            </w:tcBorders>
            <w:vAlign w:val="bottom"/>
            <w:hideMark/>
          </w:tcPr>
          <w:p w:rsidR="00E70678" w:rsidRPr="00FF6AEA" w:rsidRDefault="00E70678" w:rsidP="008345E9">
            <w:pPr>
              <w:spacing w:after="0" w:line="240" w:lineRule="auto"/>
              <w:rPr>
                <w:rFonts w:ascii="Century Gothic" w:hAnsi="Century Gothic" w:cs="Calibri"/>
                <w:color w:val="000000"/>
              </w:rPr>
            </w:pPr>
            <w:r w:rsidRPr="00FF6AEA">
              <w:rPr>
                <w:rFonts w:ascii="Century Gothic" w:hAnsi="Century Gothic" w:cs="Calibri"/>
                <w:b/>
                <w:bCs/>
                <w:color w:val="000000"/>
              </w:rPr>
              <w:lastRenderedPageBreak/>
              <w:t>KORIŠČENA SREDSTVA</w:t>
            </w:r>
            <w:r w:rsidRPr="00FF6AEA">
              <w:rPr>
                <w:rFonts w:ascii="Century Gothic" w:hAnsi="Century Gothic" w:cs="Calibri"/>
                <w:color w:val="000000"/>
              </w:rPr>
              <w:t xml:space="preserve"> - odobrena in izplačana sredstva ter sredstva v potrjevanju na posredniških organih</w:t>
            </w:r>
          </w:p>
        </w:tc>
        <w:tc>
          <w:tcPr>
            <w:tcW w:w="2603" w:type="dxa"/>
            <w:tcBorders>
              <w:top w:val="nil"/>
              <w:left w:val="single" w:sz="4" w:space="0" w:color="auto"/>
              <w:bottom w:val="nil"/>
              <w:right w:val="nil"/>
            </w:tcBorders>
            <w:noWrap/>
            <w:vAlign w:val="bottom"/>
            <w:hideMark/>
          </w:tcPr>
          <w:p w:rsidR="00E70678" w:rsidRDefault="00E70678" w:rsidP="008345E9">
            <w:pPr>
              <w:rPr>
                <w:rFonts w:ascii="Arial Narrow" w:hAnsi="Arial Narrow" w:cs="Calibri"/>
                <w:color w:val="000000"/>
              </w:rPr>
            </w:pPr>
          </w:p>
        </w:tc>
        <w:tc>
          <w:tcPr>
            <w:tcW w:w="2371" w:type="dxa"/>
            <w:noWrap/>
            <w:vAlign w:val="bottom"/>
            <w:hideMark/>
          </w:tcPr>
          <w:p w:rsidR="00E70678" w:rsidRDefault="00E70678" w:rsidP="008345E9">
            <w:pPr>
              <w:spacing w:after="0"/>
              <w:rPr>
                <w:sz w:val="20"/>
                <w:szCs w:val="20"/>
              </w:rPr>
            </w:pPr>
          </w:p>
        </w:tc>
        <w:tc>
          <w:tcPr>
            <w:tcW w:w="1344" w:type="dxa"/>
            <w:noWrap/>
            <w:vAlign w:val="bottom"/>
            <w:hideMark/>
          </w:tcPr>
          <w:p w:rsidR="00E70678" w:rsidRDefault="00E70678" w:rsidP="008345E9">
            <w:pPr>
              <w:spacing w:after="0"/>
              <w:rPr>
                <w:sz w:val="20"/>
                <w:szCs w:val="20"/>
              </w:rPr>
            </w:pPr>
          </w:p>
        </w:tc>
      </w:tr>
    </w:tbl>
    <w:p w:rsidR="00E70678" w:rsidRDefault="00E70678" w:rsidP="00E70678">
      <w:pPr>
        <w:spacing w:after="0" w:line="240" w:lineRule="auto"/>
        <w:jc w:val="both"/>
        <w:rPr>
          <w:rFonts w:ascii="Century Gothic" w:hAnsi="Century Gothic" w:cs="Calibri"/>
          <w:color w:val="000000"/>
          <w:sz w:val="20"/>
          <w:szCs w:val="20"/>
          <w:lang w:val="en-GB"/>
        </w:rPr>
      </w:pPr>
    </w:p>
    <w:p w:rsidR="00E70678" w:rsidRDefault="00E70678" w:rsidP="00E70678">
      <w:pPr>
        <w:spacing w:after="0" w:line="240" w:lineRule="auto"/>
        <w:jc w:val="both"/>
        <w:rPr>
          <w:rFonts w:ascii="Century Gothic" w:hAnsi="Century Gothic" w:cs="Calibri"/>
          <w:color w:val="000000"/>
          <w:sz w:val="20"/>
          <w:szCs w:val="20"/>
          <w:lang w:val="en-GB"/>
        </w:rPr>
      </w:pPr>
    </w:p>
    <w:p w:rsidR="00E70678" w:rsidRPr="00E70678" w:rsidRDefault="00E70678" w:rsidP="00E70678">
      <w:pPr>
        <w:pStyle w:val="Odstavekseznama"/>
        <w:numPr>
          <w:ilvl w:val="0"/>
          <w:numId w:val="1"/>
        </w:numPr>
        <w:spacing w:after="0" w:line="240" w:lineRule="auto"/>
        <w:jc w:val="both"/>
        <w:rPr>
          <w:rFonts w:ascii="Century Gothic" w:hAnsi="Century Gothic" w:cs="Calibri"/>
          <w:b/>
          <w:color w:val="000000"/>
          <w:sz w:val="24"/>
          <w:szCs w:val="24"/>
          <w:lang w:val="en-GB"/>
        </w:rPr>
      </w:pPr>
      <w:r w:rsidRPr="00E70678">
        <w:rPr>
          <w:rFonts w:ascii="Century Gothic" w:hAnsi="Century Gothic" w:cs="Calibri"/>
          <w:b/>
          <w:color w:val="000000"/>
          <w:sz w:val="24"/>
          <w:szCs w:val="24"/>
          <w:lang w:val="en-GB"/>
        </w:rPr>
        <w:t xml:space="preserve">PREGLED DOSEGANJA KAZALNIKOV, DOLOČENIH V STRATEGIJI LOKALNEGA RAZVOJA PARTNERSTVA LAS ZASAVJE </w:t>
      </w:r>
    </w:p>
    <w:p w:rsidR="00E70678" w:rsidRDefault="00E70678" w:rsidP="00E70678">
      <w:pPr>
        <w:spacing w:after="0" w:line="240" w:lineRule="auto"/>
        <w:jc w:val="both"/>
        <w:rPr>
          <w:rFonts w:ascii="Century Gothic" w:hAnsi="Century Gothic" w:cs="Calibri"/>
          <w:color w:val="000000"/>
          <w:sz w:val="20"/>
          <w:szCs w:val="20"/>
          <w:lang w:val="en-GB"/>
        </w:rPr>
      </w:pPr>
    </w:p>
    <w:p w:rsidR="00E70678" w:rsidRDefault="00E70678" w:rsidP="00E70678">
      <w:pPr>
        <w:spacing w:after="0" w:line="240" w:lineRule="auto"/>
        <w:jc w:val="both"/>
        <w:rPr>
          <w:rFonts w:ascii="Century Gothic" w:hAnsi="Century Gothic" w:cs="Calibri"/>
          <w:color w:val="000000"/>
          <w:sz w:val="20"/>
          <w:szCs w:val="20"/>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r w:rsidRPr="00E70678">
        <w:rPr>
          <w:rFonts w:ascii="Century Gothic" w:hAnsi="Century Gothic" w:cs="Calibri"/>
          <w:color w:val="000000"/>
          <w:sz w:val="24"/>
          <w:szCs w:val="24"/>
          <w:lang w:val="en-GB"/>
        </w:rPr>
        <w:t xml:space="preserve">V </w:t>
      </w:r>
      <w:proofErr w:type="spellStart"/>
      <w:r w:rsidRPr="00E70678">
        <w:rPr>
          <w:rFonts w:ascii="Century Gothic" w:hAnsi="Century Gothic" w:cs="Calibri"/>
          <w:color w:val="000000"/>
          <w:sz w:val="24"/>
          <w:szCs w:val="24"/>
          <w:lang w:val="en-GB"/>
        </w:rPr>
        <w:t>Strategiji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lokalnega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razvoja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Partnerstva</w:t>
      </w:r>
      <w:proofErr w:type="spellEnd"/>
      <w:r w:rsidRPr="00E70678">
        <w:rPr>
          <w:rFonts w:ascii="Century Gothic" w:hAnsi="Century Gothic" w:cs="Calibri"/>
          <w:color w:val="000000"/>
          <w:sz w:val="24"/>
          <w:szCs w:val="24"/>
          <w:lang w:val="en-GB"/>
        </w:rPr>
        <w:t xml:space="preserve"> LAS </w:t>
      </w:r>
      <w:proofErr w:type="spellStart"/>
      <w:r w:rsidRPr="00E70678">
        <w:rPr>
          <w:rFonts w:ascii="Century Gothic" w:hAnsi="Century Gothic" w:cs="Calibri"/>
          <w:color w:val="000000"/>
          <w:sz w:val="24"/>
          <w:szCs w:val="24"/>
          <w:lang w:val="en-GB"/>
        </w:rPr>
        <w:t>Zasavje</w:t>
      </w:r>
      <w:proofErr w:type="spellEnd"/>
      <w:r w:rsidRPr="00E70678">
        <w:rPr>
          <w:rFonts w:ascii="Century Gothic" w:hAnsi="Century Gothic" w:cs="Calibri"/>
          <w:color w:val="000000"/>
          <w:sz w:val="24"/>
          <w:szCs w:val="24"/>
          <w:lang w:val="en-GB"/>
        </w:rPr>
        <w:t xml:space="preserve"> so po </w:t>
      </w:r>
      <w:proofErr w:type="spellStart"/>
      <w:r w:rsidRPr="00E70678">
        <w:rPr>
          <w:rFonts w:ascii="Century Gothic" w:hAnsi="Century Gothic" w:cs="Calibri"/>
          <w:color w:val="000000"/>
          <w:sz w:val="24"/>
          <w:szCs w:val="24"/>
          <w:lang w:val="en-GB"/>
        </w:rPr>
        <w:t>posameznih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skladih</w:t>
      </w:r>
      <w:proofErr w:type="spellEnd"/>
      <w:r w:rsidRPr="00E70678">
        <w:rPr>
          <w:rFonts w:ascii="Century Gothic" w:hAnsi="Century Gothic" w:cs="Calibri"/>
          <w:color w:val="000000"/>
          <w:sz w:val="24"/>
          <w:szCs w:val="24"/>
          <w:lang w:val="en-GB"/>
        </w:rPr>
        <w:t xml:space="preserve"> (EKSRP in ESRR) </w:t>
      </w:r>
      <w:proofErr w:type="spellStart"/>
      <w:r w:rsidRPr="00E70678">
        <w:rPr>
          <w:rFonts w:ascii="Century Gothic" w:hAnsi="Century Gothic" w:cs="Calibri"/>
          <w:color w:val="000000"/>
          <w:sz w:val="24"/>
          <w:szCs w:val="24"/>
          <w:lang w:val="en-GB"/>
        </w:rPr>
        <w:t>določeni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mejniki</w:t>
      </w:r>
      <w:proofErr w:type="spellEnd"/>
      <w:r w:rsidRPr="00E70678">
        <w:rPr>
          <w:rFonts w:ascii="Century Gothic" w:hAnsi="Century Gothic" w:cs="Calibri"/>
          <w:color w:val="000000"/>
          <w:sz w:val="24"/>
          <w:szCs w:val="24"/>
          <w:lang w:val="en-GB"/>
        </w:rPr>
        <w:t xml:space="preserve"> oz. </w:t>
      </w:r>
      <w:proofErr w:type="spellStart"/>
      <w:r w:rsidRPr="00E70678">
        <w:rPr>
          <w:rFonts w:ascii="Century Gothic" w:hAnsi="Century Gothic" w:cs="Calibri"/>
          <w:color w:val="000000"/>
          <w:sz w:val="24"/>
          <w:szCs w:val="24"/>
          <w:lang w:val="en-GB"/>
        </w:rPr>
        <w:t>kazalniki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ter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njihove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ciljne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vrednosti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presečna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datuma</w:t>
      </w:r>
      <w:proofErr w:type="spellEnd"/>
      <w:r w:rsidRPr="00E70678">
        <w:rPr>
          <w:rFonts w:ascii="Century Gothic" w:hAnsi="Century Gothic" w:cs="Calibri"/>
          <w:color w:val="000000"/>
          <w:sz w:val="24"/>
          <w:szCs w:val="24"/>
          <w:lang w:val="en-GB"/>
        </w:rPr>
        <w:t xml:space="preserve">: 31.12.2018 in 31.12. 2023. </w:t>
      </w:r>
    </w:p>
    <w:p w:rsidR="00E70678" w:rsidRPr="00E70678" w:rsidRDefault="00E70678" w:rsidP="00E70678">
      <w:pPr>
        <w:spacing w:after="0" w:line="240" w:lineRule="auto"/>
        <w:jc w:val="both"/>
        <w:rPr>
          <w:rFonts w:ascii="Century Gothic" w:hAnsi="Century Gothic" w:cs="Calibri"/>
          <w:color w:val="000000"/>
          <w:sz w:val="24"/>
          <w:szCs w:val="24"/>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proofErr w:type="spellStart"/>
      <w:r w:rsidRPr="00E70678">
        <w:rPr>
          <w:rFonts w:ascii="Century Gothic" w:hAnsi="Century Gothic" w:cs="Calibri"/>
          <w:color w:val="000000"/>
          <w:sz w:val="24"/>
          <w:szCs w:val="24"/>
          <w:lang w:val="en-GB"/>
        </w:rPr>
        <w:t>Prav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tako</w:t>
      </w:r>
      <w:proofErr w:type="spellEnd"/>
      <w:r w:rsidRPr="00E70678">
        <w:rPr>
          <w:rFonts w:ascii="Century Gothic" w:hAnsi="Century Gothic" w:cs="Calibri"/>
          <w:color w:val="000000"/>
          <w:sz w:val="24"/>
          <w:szCs w:val="24"/>
          <w:lang w:val="en-GB"/>
        </w:rPr>
        <w:t xml:space="preserve"> je v </w:t>
      </w:r>
      <w:proofErr w:type="spellStart"/>
      <w:r w:rsidRPr="00E70678">
        <w:rPr>
          <w:rFonts w:ascii="Century Gothic" w:hAnsi="Century Gothic" w:cs="Calibri"/>
          <w:color w:val="000000"/>
          <w:sz w:val="24"/>
          <w:szCs w:val="24"/>
          <w:lang w:val="en-GB"/>
        </w:rPr>
        <w:t>poglavju</w:t>
      </w:r>
      <w:proofErr w:type="spellEnd"/>
      <w:r w:rsidRPr="00E70678">
        <w:rPr>
          <w:rFonts w:ascii="Century Gothic" w:hAnsi="Century Gothic" w:cs="Calibri"/>
          <w:color w:val="000000"/>
          <w:sz w:val="24"/>
          <w:szCs w:val="24"/>
          <w:lang w:val="en-GB"/>
        </w:rPr>
        <w:t xml:space="preserve"> 9. </w:t>
      </w:r>
      <w:proofErr w:type="spellStart"/>
      <w:r w:rsidRPr="00E70678">
        <w:rPr>
          <w:rFonts w:ascii="Century Gothic" w:hAnsi="Century Gothic" w:cs="Calibri"/>
          <w:color w:val="000000"/>
          <w:sz w:val="24"/>
          <w:szCs w:val="24"/>
          <w:lang w:val="en-GB"/>
        </w:rPr>
        <w:t>Strategije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lokalnega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razvoja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Partnerstva</w:t>
      </w:r>
      <w:proofErr w:type="spellEnd"/>
      <w:r w:rsidRPr="00E70678">
        <w:rPr>
          <w:rFonts w:ascii="Century Gothic" w:hAnsi="Century Gothic" w:cs="Calibri"/>
          <w:color w:val="000000"/>
          <w:sz w:val="24"/>
          <w:szCs w:val="24"/>
          <w:lang w:val="en-GB"/>
        </w:rPr>
        <w:t xml:space="preserve"> LAS </w:t>
      </w:r>
      <w:proofErr w:type="spellStart"/>
      <w:r w:rsidRPr="00E70678">
        <w:rPr>
          <w:rFonts w:ascii="Century Gothic" w:hAnsi="Century Gothic" w:cs="Calibri"/>
          <w:color w:val="000000"/>
          <w:sz w:val="24"/>
          <w:szCs w:val="24"/>
          <w:lang w:val="en-GB"/>
        </w:rPr>
        <w:t>Zasavje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določeno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spremljanje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dveh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poglavitnih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rezultata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ravni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cekotne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strategije</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sicer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ustvarjanje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novih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delovnih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mest</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ustvarjeno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pokritje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Programska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sredstva</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izvajanje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operacij</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obsegu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cca</w:t>
      </w:r>
      <w:proofErr w:type="spellEnd"/>
      <w:r w:rsidRPr="00E70678">
        <w:rPr>
          <w:rFonts w:ascii="Century Gothic" w:hAnsi="Century Gothic" w:cs="Calibri"/>
          <w:color w:val="000000"/>
          <w:sz w:val="24"/>
          <w:szCs w:val="24"/>
          <w:lang w:val="en-GB"/>
        </w:rPr>
        <w:t xml:space="preserve">. 1,1 </w:t>
      </w:r>
      <w:proofErr w:type="spellStart"/>
      <w:r w:rsidRPr="00E70678">
        <w:rPr>
          <w:rFonts w:ascii="Century Gothic" w:hAnsi="Century Gothic" w:cs="Calibri"/>
          <w:color w:val="000000"/>
          <w:sz w:val="24"/>
          <w:szCs w:val="24"/>
          <w:lang w:val="en-GB"/>
        </w:rPr>
        <w:t>mio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evrov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planirajo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generiranje</w:t>
      </w:r>
      <w:proofErr w:type="spellEnd"/>
      <w:r w:rsidRPr="00E70678">
        <w:rPr>
          <w:rFonts w:ascii="Century Gothic" w:hAnsi="Century Gothic" w:cs="Calibri"/>
          <w:color w:val="000000"/>
          <w:sz w:val="24"/>
          <w:szCs w:val="24"/>
          <w:lang w:val="en-GB"/>
        </w:rPr>
        <w:t xml:space="preserve"> 2 </w:t>
      </w:r>
      <w:proofErr w:type="spellStart"/>
      <w:r w:rsidRPr="00E70678">
        <w:rPr>
          <w:rFonts w:ascii="Century Gothic" w:hAnsi="Century Gothic" w:cs="Calibri"/>
          <w:color w:val="000000"/>
          <w:sz w:val="24"/>
          <w:szCs w:val="24"/>
          <w:lang w:val="en-GB"/>
        </w:rPr>
        <w:t>delovnih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mest</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pokritje</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višini</w:t>
      </w:r>
      <w:proofErr w:type="spellEnd"/>
      <w:r w:rsidRPr="00E70678">
        <w:rPr>
          <w:rFonts w:ascii="Century Gothic" w:hAnsi="Century Gothic" w:cs="Calibri"/>
          <w:color w:val="000000"/>
          <w:sz w:val="24"/>
          <w:szCs w:val="24"/>
          <w:lang w:val="en-GB"/>
        </w:rPr>
        <w:t xml:space="preserve"> 34.000 €. </w:t>
      </w:r>
    </w:p>
    <w:p w:rsidR="00E70678" w:rsidRDefault="00E70678" w:rsidP="00E70678">
      <w:pPr>
        <w:spacing w:after="0" w:line="240" w:lineRule="auto"/>
        <w:jc w:val="both"/>
        <w:rPr>
          <w:rFonts w:ascii="Century Gothic" w:hAnsi="Century Gothic" w:cs="Calibri"/>
          <w:color w:val="000000"/>
          <w:sz w:val="20"/>
          <w:szCs w:val="20"/>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r w:rsidRPr="00E70678">
        <w:rPr>
          <w:rFonts w:ascii="Century Gothic" w:hAnsi="Century Gothic" w:cs="Calibri"/>
          <w:color w:val="000000"/>
          <w:sz w:val="24"/>
          <w:szCs w:val="24"/>
          <w:lang w:val="en-GB"/>
        </w:rPr>
        <w:t xml:space="preserve">V </w:t>
      </w:r>
      <w:proofErr w:type="spellStart"/>
      <w:r w:rsidRPr="00E70678">
        <w:rPr>
          <w:rFonts w:ascii="Century Gothic" w:hAnsi="Century Gothic" w:cs="Calibri"/>
          <w:color w:val="000000"/>
          <w:sz w:val="24"/>
          <w:szCs w:val="24"/>
          <w:lang w:val="en-GB"/>
        </w:rPr>
        <w:t>spodnji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tabeli</w:t>
      </w:r>
      <w:proofErr w:type="spellEnd"/>
      <w:r w:rsidRPr="00E70678">
        <w:rPr>
          <w:rFonts w:ascii="Century Gothic" w:hAnsi="Century Gothic" w:cs="Calibri"/>
          <w:color w:val="000000"/>
          <w:sz w:val="24"/>
          <w:szCs w:val="24"/>
          <w:lang w:val="en-GB"/>
        </w:rPr>
        <w:t xml:space="preserve"> so po </w:t>
      </w:r>
      <w:proofErr w:type="spellStart"/>
      <w:r w:rsidRPr="00E70678">
        <w:rPr>
          <w:rFonts w:ascii="Century Gothic" w:hAnsi="Century Gothic" w:cs="Calibri"/>
          <w:color w:val="000000"/>
          <w:sz w:val="24"/>
          <w:szCs w:val="24"/>
          <w:lang w:val="en-GB"/>
        </w:rPr>
        <w:t>obeh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skladih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prikazani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določeni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kazalniki</w:t>
      </w:r>
      <w:proofErr w:type="spellEnd"/>
      <w:r w:rsidRPr="00E70678">
        <w:rPr>
          <w:rFonts w:ascii="Century Gothic" w:hAnsi="Century Gothic" w:cs="Calibri"/>
          <w:color w:val="000000"/>
          <w:sz w:val="24"/>
          <w:szCs w:val="24"/>
          <w:lang w:val="en-GB"/>
        </w:rPr>
        <w:t xml:space="preserve"> po SLR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presečni</w:t>
      </w:r>
      <w:proofErr w:type="spellEnd"/>
      <w:r w:rsidRPr="00E70678">
        <w:rPr>
          <w:rFonts w:ascii="Century Gothic" w:hAnsi="Century Gothic" w:cs="Calibri"/>
          <w:color w:val="000000"/>
          <w:sz w:val="24"/>
          <w:szCs w:val="24"/>
          <w:lang w:val="en-GB"/>
        </w:rPr>
        <w:t xml:space="preserve"> datum 31.12.2018 </w:t>
      </w:r>
      <w:proofErr w:type="spellStart"/>
      <w:r w:rsidRPr="00E70678">
        <w:rPr>
          <w:rFonts w:ascii="Century Gothic" w:hAnsi="Century Gothic" w:cs="Calibri"/>
          <w:color w:val="000000"/>
          <w:sz w:val="24"/>
          <w:szCs w:val="24"/>
          <w:lang w:val="en-GB"/>
        </w:rPr>
        <w:t>ter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doseženi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kazalniki</w:t>
      </w:r>
      <w:proofErr w:type="spellEnd"/>
      <w:r w:rsidRPr="00E70678">
        <w:rPr>
          <w:rFonts w:ascii="Century Gothic" w:hAnsi="Century Gothic" w:cs="Calibri"/>
          <w:color w:val="000000"/>
          <w:sz w:val="24"/>
          <w:szCs w:val="24"/>
          <w:lang w:val="en-GB"/>
        </w:rPr>
        <w:t>.</w:t>
      </w:r>
    </w:p>
    <w:p w:rsidR="00E70678" w:rsidRDefault="00E70678" w:rsidP="00E70678">
      <w:pPr>
        <w:spacing w:after="0" w:line="240" w:lineRule="auto"/>
        <w:jc w:val="both"/>
        <w:rPr>
          <w:rFonts w:ascii="Century Gothic" w:hAnsi="Century Gothic" w:cs="Calibri"/>
          <w:color w:val="000000"/>
          <w:sz w:val="20"/>
          <w:szCs w:val="20"/>
          <w:lang w:val="en-GB"/>
        </w:rPr>
      </w:pPr>
    </w:p>
    <w:p w:rsidR="00E70678" w:rsidRDefault="00E70678" w:rsidP="00E70678">
      <w:pPr>
        <w:spacing w:after="0" w:line="240" w:lineRule="auto"/>
        <w:jc w:val="both"/>
        <w:rPr>
          <w:rFonts w:ascii="Century Gothic" w:hAnsi="Century Gothic" w:cs="Calibri"/>
          <w:color w:val="000000"/>
          <w:sz w:val="20"/>
          <w:szCs w:val="20"/>
          <w:lang w:val="en-GB"/>
        </w:rPr>
      </w:pPr>
    </w:p>
    <w:p w:rsidR="00E70678" w:rsidRDefault="00E70678" w:rsidP="00E70678">
      <w:pPr>
        <w:spacing w:after="0" w:line="240" w:lineRule="auto"/>
        <w:jc w:val="both"/>
        <w:rPr>
          <w:rFonts w:ascii="Century Gothic" w:hAnsi="Century Gothic" w:cs="Calibri"/>
          <w:color w:val="000000"/>
          <w:sz w:val="20"/>
          <w:szCs w:val="20"/>
          <w:lang w:val="en-GB"/>
        </w:rPr>
      </w:pPr>
    </w:p>
    <w:p w:rsidR="00E70678" w:rsidRPr="00E70678" w:rsidRDefault="00E70678" w:rsidP="00E70678">
      <w:pPr>
        <w:spacing w:after="0" w:line="240" w:lineRule="auto"/>
        <w:jc w:val="both"/>
        <w:rPr>
          <w:rFonts w:ascii="Century Gothic" w:hAnsi="Century Gothic" w:cs="Calibri"/>
          <w:b/>
          <w:color w:val="000000"/>
          <w:sz w:val="24"/>
          <w:szCs w:val="24"/>
          <w:lang w:val="en-GB"/>
        </w:rPr>
      </w:pPr>
      <w:proofErr w:type="spellStart"/>
      <w:r w:rsidRPr="00E70678">
        <w:rPr>
          <w:rFonts w:ascii="Century Gothic" w:hAnsi="Century Gothic" w:cs="Calibri"/>
          <w:b/>
          <w:color w:val="000000"/>
          <w:sz w:val="24"/>
          <w:szCs w:val="24"/>
          <w:lang w:val="en-GB"/>
        </w:rPr>
        <w:t>Tabela</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Doseganje</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kazalnikov</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na</w:t>
      </w:r>
      <w:proofErr w:type="spellEnd"/>
      <w:r w:rsidRPr="00E70678">
        <w:rPr>
          <w:rFonts w:ascii="Century Gothic" w:hAnsi="Century Gothic" w:cs="Calibri"/>
          <w:b/>
          <w:color w:val="000000"/>
          <w:sz w:val="24"/>
          <w:szCs w:val="24"/>
          <w:lang w:val="en-GB"/>
        </w:rPr>
        <w:t xml:space="preserve"> dan 31.12.2018 </w:t>
      </w:r>
      <w:proofErr w:type="spellStart"/>
      <w:r w:rsidRPr="00E70678">
        <w:rPr>
          <w:rFonts w:ascii="Century Gothic" w:hAnsi="Century Gothic" w:cs="Calibri"/>
          <w:b/>
          <w:color w:val="000000"/>
          <w:sz w:val="24"/>
          <w:szCs w:val="24"/>
          <w:lang w:val="en-GB"/>
        </w:rPr>
        <w:t>iz</w:t>
      </w:r>
      <w:proofErr w:type="spellEnd"/>
      <w:r w:rsidRPr="00E70678">
        <w:rPr>
          <w:rFonts w:ascii="Century Gothic" w:hAnsi="Century Gothic" w:cs="Calibri"/>
          <w:b/>
          <w:color w:val="000000"/>
          <w:sz w:val="24"/>
          <w:szCs w:val="24"/>
          <w:lang w:val="en-GB"/>
        </w:rPr>
        <w:t xml:space="preserve"> ESRR </w:t>
      </w:r>
      <w:proofErr w:type="spellStart"/>
      <w:r w:rsidRPr="00E70678">
        <w:rPr>
          <w:rFonts w:ascii="Century Gothic" w:hAnsi="Century Gothic" w:cs="Calibri"/>
          <w:b/>
          <w:color w:val="000000"/>
          <w:sz w:val="24"/>
          <w:szCs w:val="24"/>
          <w:lang w:val="en-GB"/>
        </w:rPr>
        <w:t>sklada</w:t>
      </w:r>
      <w:proofErr w:type="spellEnd"/>
      <w:r w:rsidRPr="00E70678">
        <w:rPr>
          <w:rFonts w:ascii="Century Gothic" w:hAnsi="Century Gothic" w:cs="Calibri"/>
          <w:b/>
          <w:color w:val="000000"/>
          <w:sz w:val="24"/>
          <w:szCs w:val="24"/>
          <w:lang w:val="en-GB"/>
        </w:rPr>
        <w:t xml:space="preserve"> </w:t>
      </w:r>
    </w:p>
    <w:p w:rsidR="00E70678" w:rsidRDefault="00E70678" w:rsidP="00E70678">
      <w:pPr>
        <w:spacing w:after="0" w:line="240" w:lineRule="auto"/>
        <w:jc w:val="both"/>
        <w:rPr>
          <w:rFonts w:ascii="Century Gothic" w:hAnsi="Century Gothic" w:cs="Calibri"/>
          <w:color w:val="000000"/>
          <w:sz w:val="20"/>
          <w:szCs w:val="20"/>
          <w:lang w:val="en-GB"/>
        </w:rPr>
      </w:pPr>
    </w:p>
    <w:tbl>
      <w:tblPr>
        <w:tblW w:w="6783" w:type="dxa"/>
        <w:jc w:val="center"/>
        <w:tblCellMar>
          <w:left w:w="70" w:type="dxa"/>
          <w:right w:w="70" w:type="dxa"/>
        </w:tblCellMar>
        <w:tblLook w:val="04A0" w:firstRow="1" w:lastRow="0" w:firstColumn="1" w:lastColumn="0" w:noHBand="0" w:noVBand="1"/>
      </w:tblPr>
      <w:tblGrid>
        <w:gridCol w:w="3315"/>
        <w:gridCol w:w="1794"/>
        <w:gridCol w:w="1674"/>
      </w:tblGrid>
      <w:tr w:rsidR="00E70678" w:rsidRPr="007E2CA9" w:rsidTr="008345E9">
        <w:trPr>
          <w:trHeight w:val="432"/>
          <w:jc w:val="center"/>
        </w:trPr>
        <w:tc>
          <w:tcPr>
            <w:tcW w:w="331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 xml:space="preserve">MEJNIK/KAZALNIK </w:t>
            </w:r>
          </w:p>
        </w:tc>
        <w:tc>
          <w:tcPr>
            <w:tcW w:w="1794" w:type="dxa"/>
            <w:tcBorders>
              <w:top w:val="single" w:sz="4" w:space="0" w:color="auto"/>
              <w:left w:val="nil"/>
              <w:bottom w:val="single" w:sz="4" w:space="0" w:color="auto"/>
              <w:right w:val="single" w:sz="4" w:space="0" w:color="auto"/>
            </w:tcBorders>
            <w:shd w:val="clear" w:color="000000" w:fill="FFFF00"/>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CILJNA VREDNOST NA DAN 31.12.2018</w:t>
            </w:r>
          </w:p>
        </w:tc>
        <w:tc>
          <w:tcPr>
            <w:tcW w:w="1674" w:type="dxa"/>
            <w:tcBorders>
              <w:top w:val="single" w:sz="4" w:space="0" w:color="auto"/>
              <w:left w:val="nil"/>
              <w:bottom w:val="single" w:sz="4" w:space="0" w:color="auto"/>
              <w:right w:val="single" w:sz="4" w:space="0" w:color="auto"/>
            </w:tcBorders>
            <w:shd w:val="clear" w:color="000000" w:fill="FFFF00"/>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DOSEŽENA VREDNOST NA DAN 31.12.2018</w:t>
            </w:r>
          </w:p>
        </w:tc>
      </w:tr>
      <w:tr w:rsidR="00E70678" w:rsidRPr="007E2CA9" w:rsidTr="008345E9">
        <w:trPr>
          <w:trHeight w:val="252"/>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novo ustvarjenih delovnih mest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3</w:t>
            </w:r>
          </w:p>
        </w:tc>
      </w:tr>
      <w:tr w:rsidR="00E70678" w:rsidRPr="007E2CA9" w:rsidTr="008345E9">
        <w:trPr>
          <w:trHeight w:val="456"/>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zaključenih operacij v primerjavi z odobrenimi operacijami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w:t>
            </w:r>
          </w:p>
        </w:tc>
      </w:tr>
      <w:tr w:rsidR="00E70678" w:rsidRPr="007E2CA9" w:rsidTr="008345E9">
        <w:trPr>
          <w:trHeight w:val="684"/>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Delež dodeljenih sredstev v odločitvi o potrditvi operacije v primerjavi z določenim finančnim okvirjem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40</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63,2</w:t>
            </w:r>
          </w:p>
        </w:tc>
      </w:tr>
      <w:tr w:rsidR="00E70678" w:rsidRPr="007E2CA9" w:rsidTr="008345E9">
        <w:trPr>
          <w:trHeight w:val="684"/>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Delež izplačanih sredstev v primerjavi z dodeljenimi sredstvi v odločitvi o potrditvi operacije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20</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86,2</w:t>
            </w:r>
          </w:p>
        </w:tc>
      </w:tr>
      <w:tr w:rsidR="00E70678" w:rsidRPr="007E2CA9" w:rsidTr="008345E9">
        <w:trPr>
          <w:trHeight w:val="252"/>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lastRenderedPageBreak/>
              <w:t>Ustvarjeno pokritje (v eur)</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r>
      <w:tr w:rsidR="00E70678" w:rsidRPr="007E2CA9" w:rsidTr="008345E9">
        <w:trPr>
          <w:trHeight w:val="252"/>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vzpostavljenih partnerstev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w:t>
            </w:r>
          </w:p>
        </w:tc>
      </w:tr>
      <w:tr w:rsidR="00E70678" w:rsidRPr="007E2CA9" w:rsidTr="008345E9">
        <w:trPr>
          <w:trHeight w:val="1140"/>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Trajnostni učinek operacije (št. srečanj projektnih partnerjev po zaključeni operaciji in/ali št. podanih izjav o zagotavljanju trajnostni operacije po zaključku le-te)</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r>
      <w:tr w:rsidR="00E70678" w:rsidRPr="007E2CA9" w:rsidTr="008345E9">
        <w:trPr>
          <w:trHeight w:val="456"/>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deležnikov na lokalni ravni, vključenih v izvajanje operacije (le partnerji v operaciji)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7</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13</w:t>
            </w:r>
          </w:p>
        </w:tc>
      </w:tr>
      <w:tr w:rsidR="00E70678" w:rsidRPr="007E2CA9" w:rsidTr="008345E9">
        <w:trPr>
          <w:trHeight w:val="252"/>
          <w:jc w:val="center"/>
        </w:trPr>
        <w:tc>
          <w:tcPr>
            <w:tcW w:w="3315"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podprtih partnerstev </w:t>
            </w:r>
          </w:p>
        </w:tc>
        <w:tc>
          <w:tcPr>
            <w:tcW w:w="179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w:t>
            </w:r>
          </w:p>
        </w:tc>
        <w:tc>
          <w:tcPr>
            <w:tcW w:w="1674"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w:t>
            </w:r>
          </w:p>
        </w:tc>
      </w:tr>
    </w:tbl>
    <w:p w:rsidR="00E70678" w:rsidRDefault="00E70678" w:rsidP="00E70678">
      <w:pPr>
        <w:spacing w:after="0" w:line="240" w:lineRule="auto"/>
        <w:jc w:val="both"/>
        <w:rPr>
          <w:rFonts w:ascii="Century Gothic" w:hAnsi="Century Gothic" w:cs="Calibri"/>
          <w:color w:val="000000"/>
          <w:sz w:val="20"/>
          <w:szCs w:val="20"/>
          <w:lang w:val="en-GB"/>
        </w:rPr>
      </w:pPr>
    </w:p>
    <w:p w:rsidR="00E70678" w:rsidRPr="00E70678" w:rsidRDefault="00E70678" w:rsidP="00E70678">
      <w:pPr>
        <w:spacing w:after="0" w:line="240" w:lineRule="auto"/>
        <w:jc w:val="both"/>
        <w:rPr>
          <w:rFonts w:ascii="Century Gothic" w:hAnsi="Century Gothic" w:cs="Calibri"/>
          <w:b/>
          <w:color w:val="000000"/>
          <w:sz w:val="24"/>
          <w:szCs w:val="24"/>
          <w:lang w:val="en-GB"/>
        </w:rPr>
      </w:pPr>
      <w:proofErr w:type="spellStart"/>
      <w:r w:rsidRPr="00E70678">
        <w:rPr>
          <w:rFonts w:ascii="Century Gothic" w:hAnsi="Century Gothic" w:cs="Calibri"/>
          <w:b/>
          <w:color w:val="000000"/>
          <w:sz w:val="24"/>
          <w:szCs w:val="24"/>
          <w:lang w:val="en-GB"/>
        </w:rPr>
        <w:t>Tabela</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Doseganje</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kazalnikov</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b/>
          <w:color w:val="000000"/>
          <w:sz w:val="24"/>
          <w:szCs w:val="24"/>
          <w:lang w:val="en-GB"/>
        </w:rPr>
        <w:t>na</w:t>
      </w:r>
      <w:proofErr w:type="spellEnd"/>
      <w:r w:rsidRPr="00E70678">
        <w:rPr>
          <w:rFonts w:ascii="Century Gothic" w:hAnsi="Century Gothic" w:cs="Calibri"/>
          <w:b/>
          <w:color w:val="000000"/>
          <w:sz w:val="24"/>
          <w:szCs w:val="24"/>
          <w:lang w:val="en-GB"/>
        </w:rPr>
        <w:t xml:space="preserve"> dan 31.12.2018 </w:t>
      </w:r>
      <w:proofErr w:type="spellStart"/>
      <w:r w:rsidRPr="00E70678">
        <w:rPr>
          <w:rFonts w:ascii="Century Gothic" w:hAnsi="Century Gothic" w:cs="Calibri"/>
          <w:b/>
          <w:color w:val="000000"/>
          <w:sz w:val="24"/>
          <w:szCs w:val="24"/>
          <w:lang w:val="en-GB"/>
        </w:rPr>
        <w:t>iz</w:t>
      </w:r>
      <w:proofErr w:type="spellEnd"/>
      <w:r w:rsidRPr="00E70678">
        <w:rPr>
          <w:rFonts w:ascii="Century Gothic" w:hAnsi="Century Gothic" w:cs="Calibri"/>
          <w:b/>
          <w:color w:val="000000"/>
          <w:sz w:val="24"/>
          <w:szCs w:val="24"/>
          <w:lang w:val="en-GB"/>
        </w:rPr>
        <w:t xml:space="preserve"> EKSRP </w:t>
      </w:r>
      <w:proofErr w:type="spellStart"/>
      <w:r w:rsidRPr="00E70678">
        <w:rPr>
          <w:rFonts w:ascii="Century Gothic" w:hAnsi="Century Gothic" w:cs="Calibri"/>
          <w:b/>
          <w:color w:val="000000"/>
          <w:sz w:val="24"/>
          <w:szCs w:val="24"/>
          <w:lang w:val="en-GB"/>
        </w:rPr>
        <w:t>sklada</w:t>
      </w:r>
      <w:proofErr w:type="spellEnd"/>
      <w:r w:rsidRPr="00E70678">
        <w:rPr>
          <w:rFonts w:ascii="Century Gothic" w:hAnsi="Century Gothic" w:cs="Calibri"/>
          <w:b/>
          <w:color w:val="000000"/>
          <w:sz w:val="24"/>
          <w:szCs w:val="24"/>
          <w:lang w:val="en-GB"/>
        </w:rPr>
        <w:t xml:space="preserve"> </w:t>
      </w:r>
    </w:p>
    <w:p w:rsidR="00E70678" w:rsidRDefault="00E70678" w:rsidP="00E70678">
      <w:pPr>
        <w:spacing w:after="0" w:line="240" w:lineRule="auto"/>
        <w:jc w:val="both"/>
        <w:rPr>
          <w:rFonts w:ascii="Century Gothic" w:hAnsi="Century Gothic" w:cs="Calibri"/>
          <w:color w:val="000000"/>
          <w:sz w:val="20"/>
          <w:szCs w:val="20"/>
          <w:lang w:val="en-GB"/>
        </w:rPr>
      </w:pPr>
    </w:p>
    <w:p w:rsidR="00E70678" w:rsidRDefault="00E70678" w:rsidP="00E70678">
      <w:pPr>
        <w:spacing w:after="0" w:line="240" w:lineRule="auto"/>
        <w:jc w:val="both"/>
        <w:rPr>
          <w:rFonts w:ascii="Century Gothic" w:hAnsi="Century Gothic" w:cs="Calibri"/>
          <w:color w:val="000000"/>
          <w:sz w:val="20"/>
          <w:szCs w:val="20"/>
          <w:lang w:val="en-GB"/>
        </w:rPr>
      </w:pPr>
    </w:p>
    <w:tbl>
      <w:tblPr>
        <w:tblW w:w="6917" w:type="dxa"/>
        <w:jc w:val="center"/>
        <w:tblCellMar>
          <w:left w:w="70" w:type="dxa"/>
          <w:right w:w="70" w:type="dxa"/>
        </w:tblCellMar>
        <w:tblLook w:val="04A0" w:firstRow="1" w:lastRow="0" w:firstColumn="1" w:lastColumn="0" w:noHBand="0" w:noVBand="1"/>
      </w:tblPr>
      <w:tblGrid>
        <w:gridCol w:w="3381"/>
        <w:gridCol w:w="1829"/>
        <w:gridCol w:w="1707"/>
      </w:tblGrid>
      <w:tr w:rsidR="00E70678" w:rsidRPr="00E70678" w:rsidTr="008345E9">
        <w:trPr>
          <w:trHeight w:val="484"/>
          <w:jc w:val="center"/>
        </w:trPr>
        <w:tc>
          <w:tcPr>
            <w:tcW w:w="338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 xml:space="preserve">MEJNIK/KAZALNIK </w:t>
            </w:r>
          </w:p>
        </w:tc>
        <w:tc>
          <w:tcPr>
            <w:tcW w:w="1829" w:type="dxa"/>
            <w:tcBorders>
              <w:top w:val="single" w:sz="4" w:space="0" w:color="auto"/>
              <w:left w:val="nil"/>
              <w:bottom w:val="single" w:sz="4" w:space="0" w:color="auto"/>
              <w:right w:val="single" w:sz="4" w:space="0" w:color="auto"/>
            </w:tcBorders>
            <w:shd w:val="clear" w:color="000000" w:fill="FFFF00"/>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CILJNA VREDNOST NA DAN 31.12.2018</w:t>
            </w:r>
          </w:p>
        </w:tc>
        <w:tc>
          <w:tcPr>
            <w:tcW w:w="1707" w:type="dxa"/>
            <w:tcBorders>
              <w:top w:val="single" w:sz="4" w:space="0" w:color="auto"/>
              <w:left w:val="nil"/>
              <w:bottom w:val="single" w:sz="4" w:space="0" w:color="auto"/>
              <w:right w:val="single" w:sz="4" w:space="0" w:color="auto"/>
            </w:tcBorders>
            <w:shd w:val="clear" w:color="000000" w:fill="FFFF00"/>
            <w:vAlign w:val="bottom"/>
            <w:hideMark/>
          </w:tcPr>
          <w:p w:rsidR="00E70678" w:rsidRPr="00E70678" w:rsidRDefault="00E70678" w:rsidP="008345E9">
            <w:pPr>
              <w:spacing w:after="0" w:line="240" w:lineRule="auto"/>
              <w:rPr>
                <w:rFonts w:ascii="Century Gothic" w:hAnsi="Century Gothic" w:cs="Calibri"/>
                <w:b/>
                <w:bCs/>
                <w:color w:val="000000"/>
              </w:rPr>
            </w:pPr>
            <w:r w:rsidRPr="00E70678">
              <w:rPr>
                <w:rFonts w:ascii="Century Gothic" w:hAnsi="Century Gothic" w:cs="Calibri"/>
                <w:b/>
                <w:bCs/>
                <w:color w:val="000000"/>
              </w:rPr>
              <w:t>DOSEŽENA VREDNOST NA DAN 31.12.2018</w:t>
            </w:r>
          </w:p>
        </w:tc>
      </w:tr>
      <w:tr w:rsidR="00E70678" w:rsidRPr="00E70678" w:rsidTr="008345E9">
        <w:trPr>
          <w:trHeight w:val="282"/>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novo ustvarjenih delovnih mest </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w:t>
            </w:r>
          </w:p>
        </w:tc>
      </w:tr>
      <w:tr w:rsidR="00E70678" w:rsidRPr="00E70678" w:rsidTr="008345E9">
        <w:trPr>
          <w:trHeight w:val="511"/>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zaključenih operacij v primerjavi z odobrenimi operacijami </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w:t>
            </w:r>
          </w:p>
        </w:tc>
      </w:tr>
      <w:tr w:rsidR="00E70678" w:rsidRPr="00E70678" w:rsidTr="008345E9">
        <w:trPr>
          <w:trHeight w:val="767"/>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Delež dodeljenih sredstev v odločitvi o potrditvi operacije v primerjavi z določenim finančnim okvirjem </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40</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42,95</w:t>
            </w:r>
          </w:p>
        </w:tc>
      </w:tr>
      <w:tr w:rsidR="00E70678" w:rsidRPr="00E70678" w:rsidTr="008345E9">
        <w:trPr>
          <w:trHeight w:val="767"/>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Delež izplačanih sredstev v primerjavi z dodeljenimi sredstvi v odločitvi o potrditvi operacije </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10</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6,4</w:t>
            </w:r>
          </w:p>
        </w:tc>
      </w:tr>
      <w:tr w:rsidR="00E70678" w:rsidRPr="00E70678" w:rsidTr="008345E9">
        <w:trPr>
          <w:trHeight w:val="282"/>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Ustvarjeno pokritje (v eur)</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0</w:t>
            </w:r>
          </w:p>
        </w:tc>
      </w:tr>
      <w:tr w:rsidR="00E70678" w:rsidRPr="00E70678" w:rsidTr="008345E9">
        <w:trPr>
          <w:trHeight w:val="1280"/>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Trajnostni učinek operacije (št. srečanj projektnih partnerjev po zaključeni operaciji in/ali št. podanih izjav o zagotavljanju trajnostni operacije po zaključku le-te)</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w:t>
            </w:r>
          </w:p>
        </w:tc>
      </w:tr>
      <w:tr w:rsidR="00E70678" w:rsidRPr="00E70678" w:rsidTr="008345E9">
        <w:trPr>
          <w:trHeight w:val="282"/>
          <w:jc w:val="center"/>
        </w:trPr>
        <w:tc>
          <w:tcPr>
            <w:tcW w:w="3381" w:type="dxa"/>
            <w:tcBorders>
              <w:top w:val="nil"/>
              <w:left w:val="single" w:sz="4" w:space="0" w:color="auto"/>
              <w:bottom w:val="single" w:sz="4" w:space="0" w:color="auto"/>
              <w:right w:val="single" w:sz="4" w:space="0" w:color="auto"/>
            </w:tcBorders>
            <w:vAlign w:val="bottom"/>
            <w:hideMark/>
          </w:tcPr>
          <w:p w:rsidR="00E70678" w:rsidRPr="00E70678" w:rsidRDefault="00E70678" w:rsidP="008345E9">
            <w:pPr>
              <w:spacing w:after="0" w:line="240" w:lineRule="auto"/>
              <w:rPr>
                <w:rFonts w:ascii="Century Gothic" w:hAnsi="Century Gothic" w:cs="Calibri"/>
                <w:color w:val="000000"/>
              </w:rPr>
            </w:pPr>
            <w:r w:rsidRPr="00E70678">
              <w:rPr>
                <w:rFonts w:ascii="Century Gothic" w:hAnsi="Century Gothic" w:cs="Calibri"/>
                <w:color w:val="000000"/>
              </w:rPr>
              <w:t xml:space="preserve">Število turistični produktov </w:t>
            </w:r>
          </w:p>
        </w:tc>
        <w:tc>
          <w:tcPr>
            <w:tcW w:w="1829"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1</w:t>
            </w:r>
          </w:p>
        </w:tc>
        <w:tc>
          <w:tcPr>
            <w:tcW w:w="1707" w:type="dxa"/>
            <w:tcBorders>
              <w:top w:val="nil"/>
              <w:left w:val="nil"/>
              <w:bottom w:val="single" w:sz="4" w:space="0" w:color="auto"/>
              <w:right w:val="single" w:sz="4" w:space="0" w:color="auto"/>
            </w:tcBorders>
            <w:noWrap/>
            <w:vAlign w:val="bottom"/>
            <w:hideMark/>
          </w:tcPr>
          <w:p w:rsidR="00E70678" w:rsidRPr="00E70678" w:rsidRDefault="00E70678" w:rsidP="008345E9">
            <w:pPr>
              <w:spacing w:after="0" w:line="240" w:lineRule="auto"/>
              <w:jc w:val="right"/>
              <w:rPr>
                <w:rFonts w:ascii="Century Gothic" w:hAnsi="Century Gothic" w:cs="Calibri"/>
                <w:color w:val="000000"/>
              </w:rPr>
            </w:pPr>
            <w:r w:rsidRPr="00E70678">
              <w:rPr>
                <w:rFonts w:ascii="Century Gothic" w:hAnsi="Century Gothic" w:cs="Calibri"/>
                <w:color w:val="000000"/>
              </w:rPr>
              <w:t>2</w:t>
            </w:r>
          </w:p>
        </w:tc>
      </w:tr>
    </w:tbl>
    <w:p w:rsidR="00E70678" w:rsidRDefault="00E70678" w:rsidP="00E70678">
      <w:pPr>
        <w:spacing w:after="0" w:line="240" w:lineRule="auto"/>
        <w:jc w:val="both"/>
        <w:rPr>
          <w:rFonts w:ascii="Century Gothic" w:hAnsi="Century Gothic" w:cs="Calibri"/>
          <w:b/>
          <w:color w:val="000000"/>
          <w:sz w:val="20"/>
          <w:szCs w:val="20"/>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proofErr w:type="spellStart"/>
      <w:r w:rsidRPr="00E70678">
        <w:rPr>
          <w:rFonts w:ascii="Century Gothic" w:hAnsi="Century Gothic" w:cs="Calibri"/>
          <w:b/>
          <w:color w:val="000000"/>
          <w:sz w:val="24"/>
          <w:szCs w:val="24"/>
          <w:lang w:val="en-GB"/>
        </w:rPr>
        <w:lastRenderedPageBreak/>
        <w:t>Obrazložitev</w:t>
      </w:r>
      <w:proofErr w:type="spellEnd"/>
      <w:r w:rsidRPr="00E70678">
        <w:rPr>
          <w:rFonts w:ascii="Century Gothic" w:hAnsi="Century Gothic" w:cs="Calibri"/>
          <w:b/>
          <w:color w:val="000000"/>
          <w:sz w:val="24"/>
          <w:szCs w:val="24"/>
          <w:lang w:val="en-GB"/>
        </w:rPr>
        <w:t>:</w:t>
      </w:r>
      <w:r w:rsidRPr="00E70678">
        <w:rPr>
          <w:rFonts w:ascii="Century Gothic" w:hAnsi="Century Gothic" w:cs="Calibri"/>
          <w:color w:val="000000"/>
          <w:sz w:val="24"/>
          <w:szCs w:val="24"/>
          <w:lang w:val="en-GB"/>
        </w:rPr>
        <w:t xml:space="preserve"> Pri </w:t>
      </w:r>
      <w:proofErr w:type="spellStart"/>
      <w:r w:rsidRPr="00E70678">
        <w:rPr>
          <w:rFonts w:ascii="Century Gothic" w:hAnsi="Century Gothic" w:cs="Calibri"/>
          <w:color w:val="000000"/>
          <w:sz w:val="24"/>
          <w:szCs w:val="24"/>
          <w:lang w:val="en-GB"/>
        </w:rPr>
        <w:t>spremljanju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doseženih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w:t>
      </w:r>
      <w:proofErr w:type="spellEnd"/>
      <w:r w:rsidRPr="00E70678">
        <w:rPr>
          <w:rFonts w:ascii="Century Gothic" w:hAnsi="Century Gothic" w:cs="Calibri"/>
          <w:color w:val="000000"/>
          <w:sz w:val="24"/>
          <w:szCs w:val="24"/>
          <w:lang w:val="en-GB"/>
        </w:rPr>
        <w:t xml:space="preserve"> ESRR </w:t>
      </w:r>
      <w:proofErr w:type="spellStart"/>
      <w:r w:rsidRPr="00E70678">
        <w:rPr>
          <w:rFonts w:ascii="Century Gothic" w:hAnsi="Century Gothic" w:cs="Calibri"/>
          <w:color w:val="000000"/>
          <w:sz w:val="24"/>
          <w:szCs w:val="24"/>
          <w:lang w:val="en-GB"/>
        </w:rPr>
        <w:t>sklada</w:t>
      </w:r>
      <w:proofErr w:type="spellEnd"/>
      <w:r w:rsidRPr="00E70678">
        <w:rPr>
          <w:rFonts w:ascii="Century Gothic" w:hAnsi="Century Gothic" w:cs="Calibri"/>
          <w:color w:val="000000"/>
          <w:sz w:val="24"/>
          <w:szCs w:val="24"/>
          <w:lang w:val="en-GB"/>
        </w:rPr>
        <w:t xml:space="preserve">, je </w:t>
      </w:r>
      <w:proofErr w:type="spellStart"/>
      <w:r w:rsidRPr="00E70678">
        <w:rPr>
          <w:rFonts w:ascii="Century Gothic" w:hAnsi="Century Gothic" w:cs="Calibri"/>
          <w:color w:val="000000"/>
          <w:sz w:val="24"/>
          <w:szCs w:val="24"/>
          <w:lang w:val="en-GB"/>
        </w:rPr>
        <w:t>moč</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opaziti</w:t>
      </w:r>
      <w:proofErr w:type="spellEnd"/>
      <w:r w:rsidRPr="00E70678">
        <w:rPr>
          <w:rFonts w:ascii="Century Gothic" w:hAnsi="Century Gothic" w:cs="Calibri"/>
          <w:color w:val="000000"/>
          <w:sz w:val="24"/>
          <w:szCs w:val="24"/>
          <w:lang w:val="en-GB"/>
        </w:rPr>
        <w:t xml:space="preserve">, da </w:t>
      </w:r>
      <w:proofErr w:type="spellStart"/>
      <w:r w:rsidRPr="00E70678">
        <w:rPr>
          <w:rFonts w:ascii="Century Gothic" w:hAnsi="Century Gothic" w:cs="Calibri"/>
          <w:color w:val="000000"/>
          <w:sz w:val="24"/>
          <w:szCs w:val="24"/>
          <w:lang w:val="en-GB"/>
        </w:rPr>
        <w:t>vse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zastavljene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dan 31.12.2018 </w:t>
      </w:r>
      <w:proofErr w:type="spellStart"/>
      <w:r w:rsidRPr="00E70678">
        <w:rPr>
          <w:rFonts w:ascii="Century Gothic" w:hAnsi="Century Gothic" w:cs="Calibri"/>
          <w:color w:val="000000"/>
          <w:sz w:val="24"/>
          <w:szCs w:val="24"/>
          <w:lang w:val="en-GB"/>
        </w:rPr>
        <w:t>dosežemo</w:t>
      </w:r>
      <w:proofErr w:type="spellEnd"/>
      <w:r w:rsidRPr="00E70678">
        <w:rPr>
          <w:rFonts w:ascii="Century Gothic" w:hAnsi="Century Gothic" w:cs="Calibri"/>
          <w:color w:val="000000"/>
          <w:sz w:val="24"/>
          <w:szCs w:val="24"/>
          <w:lang w:val="en-GB"/>
        </w:rPr>
        <w:t xml:space="preserve"> oz. </w:t>
      </w:r>
      <w:proofErr w:type="spellStart"/>
      <w:r w:rsidRPr="00E70678">
        <w:rPr>
          <w:rFonts w:ascii="Century Gothic" w:hAnsi="Century Gothic" w:cs="Calibri"/>
          <w:color w:val="000000"/>
          <w:sz w:val="24"/>
          <w:szCs w:val="24"/>
          <w:lang w:val="en-GB"/>
        </w:rPr>
        <w:t>jih</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večini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primerov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presegamo</w:t>
      </w:r>
      <w:proofErr w:type="spellEnd"/>
      <w:r w:rsidRPr="00E70678">
        <w:rPr>
          <w:rFonts w:ascii="Century Gothic" w:hAnsi="Century Gothic" w:cs="Calibri"/>
          <w:color w:val="000000"/>
          <w:sz w:val="24"/>
          <w:szCs w:val="24"/>
          <w:lang w:val="en-GB"/>
        </w:rPr>
        <w:t xml:space="preserve">. Pri 2. </w:t>
      </w:r>
      <w:proofErr w:type="spellStart"/>
      <w:r w:rsidRPr="00E70678">
        <w:rPr>
          <w:rFonts w:ascii="Century Gothic" w:hAnsi="Century Gothic" w:cs="Calibri"/>
          <w:color w:val="000000"/>
          <w:sz w:val="24"/>
          <w:szCs w:val="24"/>
          <w:lang w:val="en-GB"/>
        </w:rPr>
        <w:t>tabeli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opredeljuje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doseganje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naslova</w:t>
      </w:r>
      <w:proofErr w:type="spellEnd"/>
      <w:r w:rsidRPr="00E70678">
        <w:rPr>
          <w:rFonts w:ascii="Century Gothic" w:hAnsi="Century Gothic" w:cs="Calibri"/>
          <w:color w:val="000000"/>
          <w:sz w:val="24"/>
          <w:szCs w:val="24"/>
          <w:lang w:val="en-GB"/>
        </w:rPr>
        <w:t xml:space="preserve"> EKSRP </w:t>
      </w:r>
      <w:proofErr w:type="spellStart"/>
      <w:r w:rsidRPr="00E70678">
        <w:rPr>
          <w:rFonts w:ascii="Century Gothic" w:hAnsi="Century Gothic" w:cs="Calibri"/>
          <w:color w:val="000000"/>
          <w:sz w:val="24"/>
          <w:szCs w:val="24"/>
          <w:lang w:val="en-GB"/>
        </w:rPr>
        <w:t>sklada</w:t>
      </w:r>
      <w:proofErr w:type="spellEnd"/>
      <w:r w:rsidRPr="00E70678">
        <w:rPr>
          <w:rFonts w:ascii="Century Gothic" w:hAnsi="Century Gothic" w:cs="Calibri"/>
          <w:color w:val="000000"/>
          <w:sz w:val="24"/>
          <w:szCs w:val="24"/>
          <w:lang w:val="en-GB"/>
        </w:rPr>
        <w:t xml:space="preserve">, pa </w:t>
      </w:r>
      <w:proofErr w:type="spellStart"/>
      <w:r w:rsidRPr="00E70678">
        <w:rPr>
          <w:rFonts w:ascii="Century Gothic" w:hAnsi="Century Gothic" w:cs="Calibri"/>
          <w:color w:val="000000"/>
          <w:sz w:val="24"/>
          <w:szCs w:val="24"/>
          <w:lang w:val="en-GB"/>
        </w:rPr>
        <w:t>tudi</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večji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meri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dosegam</w:t>
      </w:r>
      <w:proofErr w:type="spellEnd"/>
      <w:r w:rsidRPr="00E70678">
        <w:rPr>
          <w:rFonts w:ascii="Century Gothic" w:hAnsi="Century Gothic" w:cs="Calibri"/>
          <w:color w:val="000000"/>
          <w:sz w:val="24"/>
          <w:szCs w:val="24"/>
          <w:lang w:val="en-GB"/>
        </w:rPr>
        <w:t>/</w:t>
      </w:r>
      <w:proofErr w:type="spellStart"/>
      <w:r w:rsidRPr="00E70678">
        <w:rPr>
          <w:rFonts w:ascii="Century Gothic" w:hAnsi="Century Gothic" w:cs="Calibri"/>
          <w:color w:val="000000"/>
          <w:sz w:val="24"/>
          <w:szCs w:val="24"/>
          <w:lang w:val="en-GB"/>
        </w:rPr>
        <w:t>presegamo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določene</w:t>
      </w:r>
      <w:proofErr w:type="spellEnd"/>
      <w:r w:rsidRPr="00E70678">
        <w:rPr>
          <w:rFonts w:ascii="Century Gothic" w:hAnsi="Century Gothic" w:cs="Calibri"/>
          <w:color w:val="000000"/>
          <w:sz w:val="24"/>
          <w:szCs w:val="24"/>
          <w:lang w:val="en-GB"/>
        </w:rPr>
        <w:t xml:space="preserve"> pa SLR </w:t>
      </w:r>
      <w:proofErr w:type="spellStart"/>
      <w:r w:rsidRPr="00E70678">
        <w:rPr>
          <w:rFonts w:ascii="Century Gothic" w:hAnsi="Century Gothic" w:cs="Calibri"/>
          <w:color w:val="000000"/>
          <w:sz w:val="24"/>
          <w:szCs w:val="24"/>
          <w:lang w:val="en-GB"/>
        </w:rPr>
        <w:t>Partnerstva</w:t>
      </w:r>
      <w:proofErr w:type="spellEnd"/>
      <w:r w:rsidRPr="00E70678">
        <w:rPr>
          <w:rFonts w:ascii="Century Gothic" w:hAnsi="Century Gothic" w:cs="Calibri"/>
          <w:color w:val="000000"/>
          <w:sz w:val="24"/>
          <w:szCs w:val="24"/>
          <w:lang w:val="en-GB"/>
        </w:rPr>
        <w:t xml:space="preserve"> LAS </w:t>
      </w:r>
      <w:proofErr w:type="spellStart"/>
      <w:r w:rsidRPr="00E70678">
        <w:rPr>
          <w:rFonts w:ascii="Century Gothic" w:hAnsi="Century Gothic" w:cs="Calibri"/>
          <w:color w:val="000000"/>
          <w:sz w:val="24"/>
          <w:szCs w:val="24"/>
          <w:lang w:val="en-GB"/>
        </w:rPr>
        <w:t>Zasavje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razen</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delež</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izplačanih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sredstev</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primerjavi</w:t>
      </w:r>
      <w:proofErr w:type="spellEnd"/>
      <w:r w:rsidRPr="00E70678">
        <w:rPr>
          <w:rFonts w:ascii="Century Gothic" w:hAnsi="Century Gothic" w:cs="Calibri"/>
          <w:color w:val="000000"/>
          <w:sz w:val="24"/>
          <w:szCs w:val="24"/>
          <w:lang w:val="en-GB"/>
        </w:rPr>
        <w:t xml:space="preserve"> z </w:t>
      </w:r>
      <w:proofErr w:type="spellStart"/>
      <w:r w:rsidRPr="00E70678">
        <w:rPr>
          <w:rFonts w:ascii="Century Gothic" w:hAnsi="Century Gothic" w:cs="Calibri"/>
          <w:color w:val="000000"/>
          <w:sz w:val="24"/>
          <w:szCs w:val="24"/>
          <w:lang w:val="en-GB"/>
        </w:rPr>
        <w:t>dodeljenimi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sredstvi</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odločitvi</w:t>
      </w:r>
      <w:proofErr w:type="spellEnd"/>
      <w:r w:rsidRPr="00E70678">
        <w:rPr>
          <w:rFonts w:ascii="Century Gothic" w:hAnsi="Century Gothic" w:cs="Calibri"/>
          <w:color w:val="000000"/>
          <w:sz w:val="24"/>
          <w:szCs w:val="24"/>
          <w:lang w:val="en-GB"/>
        </w:rPr>
        <w:t xml:space="preserve"> o </w:t>
      </w:r>
      <w:proofErr w:type="spellStart"/>
      <w:r w:rsidRPr="00E70678">
        <w:rPr>
          <w:rFonts w:ascii="Century Gothic" w:hAnsi="Century Gothic" w:cs="Calibri"/>
          <w:color w:val="000000"/>
          <w:sz w:val="24"/>
          <w:szCs w:val="24"/>
          <w:lang w:val="en-GB"/>
        </w:rPr>
        <w:t>potrditvi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operacije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kar</w:t>
      </w:r>
      <w:proofErr w:type="spellEnd"/>
      <w:r w:rsidRPr="00E70678">
        <w:rPr>
          <w:rFonts w:ascii="Century Gothic" w:hAnsi="Century Gothic" w:cs="Calibri"/>
          <w:color w:val="000000"/>
          <w:sz w:val="24"/>
          <w:szCs w:val="24"/>
          <w:lang w:val="en-GB"/>
        </w:rPr>
        <w:t xml:space="preserve"> pa je </w:t>
      </w:r>
      <w:proofErr w:type="spellStart"/>
      <w:r w:rsidRPr="00E70678">
        <w:rPr>
          <w:rFonts w:ascii="Century Gothic" w:hAnsi="Century Gothic" w:cs="Calibri"/>
          <w:color w:val="000000"/>
          <w:sz w:val="24"/>
          <w:szCs w:val="24"/>
          <w:lang w:val="en-GB"/>
        </w:rPr>
        <w:t>vsekakor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moč</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pripisati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dolgotrajnim</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postopkom</w:t>
      </w:r>
      <w:proofErr w:type="spellEnd"/>
      <w:r w:rsidRPr="00E70678">
        <w:rPr>
          <w:rFonts w:ascii="Century Gothic" w:hAnsi="Century Gothic" w:cs="Calibri"/>
          <w:color w:val="000000"/>
          <w:sz w:val="24"/>
          <w:szCs w:val="24"/>
          <w:lang w:val="en-GB"/>
        </w:rPr>
        <w:t xml:space="preserve"> ARSKTRP </w:t>
      </w:r>
      <w:proofErr w:type="spellStart"/>
      <w:r w:rsidRPr="00E70678">
        <w:rPr>
          <w:rFonts w:ascii="Century Gothic" w:hAnsi="Century Gothic" w:cs="Calibri"/>
          <w:color w:val="000000"/>
          <w:sz w:val="24"/>
          <w:szCs w:val="24"/>
          <w:lang w:val="en-GB"/>
        </w:rPr>
        <w:t>pri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potrjevanju</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posledičnu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izplačevanju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operacij</w:t>
      </w:r>
      <w:proofErr w:type="spellEnd"/>
      <w:r w:rsidRPr="00E70678">
        <w:rPr>
          <w:rFonts w:ascii="Century Gothic" w:hAnsi="Century Gothic" w:cs="Calibri"/>
          <w:color w:val="000000"/>
          <w:sz w:val="24"/>
          <w:szCs w:val="24"/>
          <w:lang w:val="en-GB"/>
        </w:rPr>
        <w:t xml:space="preserve"> (od 5 </w:t>
      </w:r>
      <w:proofErr w:type="spellStart"/>
      <w:r w:rsidRPr="00E70678">
        <w:rPr>
          <w:rFonts w:ascii="Century Gothic" w:hAnsi="Century Gothic" w:cs="Calibri"/>
          <w:color w:val="000000"/>
          <w:sz w:val="24"/>
          <w:szCs w:val="24"/>
          <w:lang w:val="en-GB"/>
        </w:rPr>
        <w:t>operacij</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smo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namreč</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zahtevek</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celotno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operacijo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izdali</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novembru</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decembru</w:t>
      </w:r>
      <w:proofErr w:type="spellEnd"/>
      <w:r w:rsidRPr="00E70678">
        <w:rPr>
          <w:rFonts w:ascii="Century Gothic" w:hAnsi="Century Gothic" w:cs="Calibri"/>
          <w:color w:val="000000"/>
          <w:sz w:val="24"/>
          <w:szCs w:val="24"/>
          <w:lang w:val="en-GB"/>
        </w:rPr>
        <w:t xml:space="preserve"> 2018, za </w:t>
      </w:r>
      <w:proofErr w:type="spellStart"/>
      <w:r w:rsidRPr="00E70678">
        <w:rPr>
          <w:rFonts w:ascii="Century Gothic" w:hAnsi="Century Gothic" w:cs="Calibri"/>
          <w:color w:val="000000"/>
          <w:sz w:val="24"/>
          <w:szCs w:val="24"/>
          <w:lang w:val="en-GB"/>
        </w:rPr>
        <w:t>izvedbo</w:t>
      </w:r>
      <w:proofErr w:type="spellEnd"/>
      <w:r w:rsidRPr="00E70678">
        <w:rPr>
          <w:rFonts w:ascii="Century Gothic" w:hAnsi="Century Gothic" w:cs="Calibri"/>
          <w:color w:val="000000"/>
          <w:sz w:val="24"/>
          <w:szCs w:val="24"/>
          <w:lang w:val="en-GB"/>
        </w:rPr>
        <w:t xml:space="preserve"> 1. faze pa za </w:t>
      </w:r>
      <w:proofErr w:type="spellStart"/>
      <w:r w:rsidRPr="00E70678">
        <w:rPr>
          <w:rFonts w:ascii="Century Gothic" w:hAnsi="Century Gothic" w:cs="Calibri"/>
          <w:color w:val="000000"/>
          <w:sz w:val="24"/>
          <w:szCs w:val="24"/>
          <w:lang w:val="en-GB"/>
        </w:rPr>
        <w:t>preostale</w:t>
      </w:r>
      <w:proofErr w:type="spellEnd"/>
      <w:r w:rsidRPr="00E70678">
        <w:rPr>
          <w:rFonts w:ascii="Century Gothic" w:hAnsi="Century Gothic" w:cs="Calibri"/>
          <w:color w:val="000000"/>
          <w:sz w:val="24"/>
          <w:szCs w:val="24"/>
          <w:lang w:val="en-GB"/>
        </w:rPr>
        <w:t xml:space="preserve"> 3 </w:t>
      </w:r>
      <w:proofErr w:type="spellStart"/>
      <w:r w:rsidRPr="00E70678">
        <w:rPr>
          <w:rFonts w:ascii="Century Gothic" w:hAnsi="Century Gothic" w:cs="Calibri"/>
          <w:color w:val="000000"/>
          <w:sz w:val="24"/>
          <w:szCs w:val="24"/>
          <w:lang w:val="en-GB"/>
        </w:rPr>
        <w:t>operacije</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maju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novembru</w:t>
      </w:r>
      <w:proofErr w:type="spellEnd"/>
      <w:r w:rsidRPr="00E70678">
        <w:rPr>
          <w:rFonts w:ascii="Century Gothic" w:hAnsi="Century Gothic" w:cs="Calibri"/>
          <w:color w:val="000000"/>
          <w:sz w:val="24"/>
          <w:szCs w:val="24"/>
          <w:lang w:val="en-GB"/>
        </w:rPr>
        <w:t xml:space="preserve"> in </w:t>
      </w:r>
      <w:proofErr w:type="spellStart"/>
      <w:r w:rsidRPr="00E70678">
        <w:rPr>
          <w:rFonts w:ascii="Century Gothic" w:hAnsi="Century Gothic" w:cs="Calibri"/>
          <w:color w:val="000000"/>
          <w:sz w:val="24"/>
          <w:szCs w:val="24"/>
          <w:lang w:val="en-GB"/>
        </w:rPr>
        <w:t>decembru</w:t>
      </w:r>
      <w:proofErr w:type="spellEnd"/>
      <w:r w:rsidRPr="00E70678">
        <w:rPr>
          <w:rFonts w:ascii="Century Gothic" w:hAnsi="Century Gothic" w:cs="Calibri"/>
          <w:color w:val="000000"/>
          <w:sz w:val="24"/>
          <w:szCs w:val="24"/>
          <w:lang w:val="en-GB"/>
        </w:rPr>
        <w:t xml:space="preserve"> 2018). </w:t>
      </w:r>
    </w:p>
    <w:p w:rsidR="00E70678" w:rsidRPr="00E70678" w:rsidRDefault="00E70678" w:rsidP="00E70678">
      <w:pPr>
        <w:spacing w:after="0" w:line="240" w:lineRule="auto"/>
        <w:jc w:val="both"/>
        <w:rPr>
          <w:rFonts w:ascii="Century Gothic" w:hAnsi="Century Gothic" w:cs="Calibri"/>
          <w:color w:val="000000"/>
          <w:sz w:val="24"/>
          <w:szCs w:val="24"/>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proofErr w:type="spellStart"/>
      <w:r w:rsidRPr="00E70678">
        <w:rPr>
          <w:rFonts w:ascii="Century Gothic" w:hAnsi="Century Gothic" w:cs="Calibri"/>
          <w:b/>
          <w:color w:val="000000"/>
          <w:sz w:val="24"/>
          <w:szCs w:val="24"/>
          <w:lang w:val="en-GB"/>
        </w:rPr>
        <w:t>Rezerva</w:t>
      </w:r>
      <w:proofErr w:type="spellEnd"/>
      <w:r w:rsidRPr="00E70678">
        <w:rPr>
          <w:rFonts w:ascii="Century Gothic" w:hAnsi="Century Gothic" w:cs="Calibri"/>
          <w:b/>
          <w:color w:val="000000"/>
          <w:sz w:val="24"/>
          <w:szCs w:val="24"/>
          <w:lang w:val="en-GB"/>
        </w:rPr>
        <w:t xml:space="preserve"> za </w:t>
      </w:r>
      <w:proofErr w:type="spellStart"/>
      <w:r w:rsidRPr="00E70678">
        <w:rPr>
          <w:rFonts w:ascii="Century Gothic" w:hAnsi="Century Gothic" w:cs="Calibri"/>
          <w:b/>
          <w:color w:val="000000"/>
          <w:sz w:val="24"/>
          <w:szCs w:val="24"/>
          <w:lang w:val="en-GB"/>
        </w:rPr>
        <w:t>uspešnost</w:t>
      </w:r>
      <w:proofErr w:type="spellEnd"/>
      <w:r w:rsidRPr="00E70678">
        <w:rPr>
          <w:rFonts w:ascii="Century Gothic" w:hAnsi="Century Gothic" w:cs="Calibri"/>
          <w:b/>
          <w:color w:val="000000"/>
          <w:sz w:val="24"/>
          <w:szCs w:val="24"/>
          <w:lang w:val="en-GB"/>
        </w:rPr>
        <w:t xml:space="preserve">: </w:t>
      </w:r>
      <w:proofErr w:type="spellStart"/>
      <w:r w:rsidRPr="00E70678">
        <w:rPr>
          <w:rFonts w:ascii="Century Gothic" w:hAnsi="Century Gothic" w:cs="Calibri"/>
          <w:color w:val="000000"/>
          <w:sz w:val="24"/>
          <w:szCs w:val="24"/>
          <w:lang w:val="en-GB"/>
        </w:rPr>
        <w:t>Rezerva</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uspešnost</w:t>
      </w:r>
      <w:proofErr w:type="spellEnd"/>
      <w:r w:rsidRPr="00E70678">
        <w:rPr>
          <w:rFonts w:ascii="Century Gothic" w:hAnsi="Century Gothic" w:cs="Calibri"/>
          <w:color w:val="000000"/>
          <w:sz w:val="24"/>
          <w:szCs w:val="24"/>
          <w:lang w:val="en-GB"/>
        </w:rPr>
        <w:t xml:space="preserve"> se </w:t>
      </w:r>
      <w:proofErr w:type="spellStart"/>
      <w:r w:rsidRPr="00E70678">
        <w:rPr>
          <w:rFonts w:ascii="Century Gothic" w:hAnsi="Century Gothic" w:cs="Calibri"/>
          <w:color w:val="000000"/>
          <w:sz w:val="24"/>
          <w:szCs w:val="24"/>
          <w:lang w:val="en-GB"/>
        </w:rPr>
        <w:t>bo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razdeljevala</w:t>
      </w:r>
      <w:proofErr w:type="spellEnd"/>
      <w:r w:rsidRPr="00E70678">
        <w:rPr>
          <w:rFonts w:ascii="Century Gothic" w:hAnsi="Century Gothic" w:cs="Calibri"/>
          <w:color w:val="000000"/>
          <w:sz w:val="24"/>
          <w:szCs w:val="24"/>
          <w:lang w:val="en-GB"/>
        </w:rPr>
        <w:t xml:space="preserve"> le v </w:t>
      </w:r>
      <w:proofErr w:type="spellStart"/>
      <w:r w:rsidRPr="00E70678">
        <w:rPr>
          <w:rFonts w:ascii="Century Gothic" w:hAnsi="Century Gothic" w:cs="Calibri"/>
          <w:color w:val="000000"/>
          <w:sz w:val="24"/>
          <w:szCs w:val="24"/>
          <w:lang w:val="en-GB"/>
        </w:rPr>
        <w:t>primeru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doseganja</w:t>
      </w:r>
      <w:proofErr w:type="spellEnd"/>
      <w:r w:rsidRPr="00E70678">
        <w:rPr>
          <w:rFonts w:ascii="Century Gothic" w:hAnsi="Century Gothic" w:cs="Calibri"/>
          <w:color w:val="000000"/>
          <w:sz w:val="24"/>
          <w:szCs w:val="24"/>
          <w:lang w:val="en-GB"/>
        </w:rPr>
        <w:t>/</w:t>
      </w:r>
      <w:proofErr w:type="spellStart"/>
      <w:r w:rsidRPr="00E70678">
        <w:rPr>
          <w:rFonts w:ascii="Century Gothic" w:hAnsi="Century Gothic" w:cs="Calibri"/>
          <w:color w:val="000000"/>
          <w:sz w:val="24"/>
          <w:szCs w:val="24"/>
          <w:lang w:val="en-GB"/>
        </w:rPr>
        <w:t>preseganja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w:t>
      </w:r>
      <w:proofErr w:type="spellEnd"/>
      <w:r w:rsidRPr="00E70678">
        <w:rPr>
          <w:rFonts w:ascii="Century Gothic" w:hAnsi="Century Gothic" w:cs="Calibri"/>
          <w:color w:val="000000"/>
          <w:sz w:val="24"/>
          <w:szCs w:val="24"/>
          <w:lang w:val="en-GB"/>
        </w:rPr>
        <w:t xml:space="preserve"> EKSRP </w:t>
      </w:r>
      <w:proofErr w:type="spellStart"/>
      <w:r w:rsidRPr="00E70678">
        <w:rPr>
          <w:rFonts w:ascii="Century Gothic" w:hAnsi="Century Gothic" w:cs="Calibri"/>
          <w:color w:val="000000"/>
          <w:sz w:val="24"/>
          <w:szCs w:val="24"/>
          <w:lang w:val="en-GB"/>
        </w:rPr>
        <w:t>sklada</w:t>
      </w:r>
      <w:proofErr w:type="spellEnd"/>
      <w:r w:rsidRPr="00E70678">
        <w:rPr>
          <w:rFonts w:ascii="Century Gothic" w:hAnsi="Century Gothic" w:cs="Calibri"/>
          <w:color w:val="000000"/>
          <w:sz w:val="24"/>
          <w:szCs w:val="24"/>
          <w:lang w:val="en-GB"/>
        </w:rPr>
        <w:t xml:space="preserve">. V sled </w:t>
      </w:r>
      <w:proofErr w:type="spellStart"/>
      <w:r w:rsidRPr="00E70678">
        <w:rPr>
          <w:rFonts w:ascii="Century Gothic" w:hAnsi="Century Gothic" w:cs="Calibri"/>
          <w:color w:val="000000"/>
          <w:sz w:val="24"/>
          <w:szCs w:val="24"/>
          <w:lang w:val="en-GB"/>
        </w:rPr>
        <w:t>temu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smo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Ministrstvo</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kmetijstvo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gozdarstvo</w:t>
      </w:r>
      <w:proofErr w:type="spellEnd"/>
      <w:r w:rsidRPr="00E70678">
        <w:rPr>
          <w:rFonts w:ascii="Century Gothic" w:hAnsi="Century Gothic" w:cs="Calibri"/>
          <w:color w:val="000000"/>
          <w:sz w:val="24"/>
          <w:szCs w:val="24"/>
          <w:lang w:val="en-GB"/>
        </w:rPr>
        <w:t xml:space="preserve"> in </w:t>
      </w:r>
      <w:proofErr w:type="spellStart"/>
      <w:proofErr w:type="gramStart"/>
      <w:r w:rsidRPr="00E70678">
        <w:rPr>
          <w:rFonts w:ascii="Century Gothic" w:hAnsi="Century Gothic" w:cs="Calibri"/>
          <w:color w:val="000000"/>
          <w:sz w:val="24"/>
          <w:szCs w:val="24"/>
          <w:lang w:val="en-GB"/>
        </w:rPr>
        <w:t>prehrano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oddali</w:t>
      </w:r>
      <w:proofErr w:type="spellEnd"/>
      <w:proofErr w:type="gram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poročilo</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leto</w:t>
      </w:r>
      <w:proofErr w:type="spellEnd"/>
      <w:r w:rsidRPr="00E70678">
        <w:rPr>
          <w:rFonts w:ascii="Century Gothic" w:hAnsi="Century Gothic" w:cs="Calibri"/>
          <w:color w:val="000000"/>
          <w:sz w:val="24"/>
          <w:szCs w:val="24"/>
          <w:lang w:val="en-GB"/>
        </w:rPr>
        <w:t xml:space="preserve"> 2018, </w:t>
      </w:r>
      <w:proofErr w:type="spellStart"/>
      <w:r w:rsidRPr="00E70678">
        <w:rPr>
          <w:rFonts w:ascii="Century Gothic" w:hAnsi="Century Gothic" w:cs="Calibri"/>
          <w:color w:val="000000"/>
          <w:sz w:val="24"/>
          <w:szCs w:val="24"/>
          <w:lang w:val="en-GB"/>
        </w:rPr>
        <w:t>ki</w:t>
      </w:r>
      <w:proofErr w:type="spellEnd"/>
      <w:r w:rsidRPr="00E70678">
        <w:rPr>
          <w:rFonts w:ascii="Century Gothic" w:hAnsi="Century Gothic" w:cs="Calibri"/>
          <w:color w:val="000000"/>
          <w:sz w:val="24"/>
          <w:szCs w:val="24"/>
          <w:lang w:val="en-GB"/>
        </w:rPr>
        <w:t xml:space="preserve"> je </w:t>
      </w:r>
      <w:proofErr w:type="spellStart"/>
      <w:r w:rsidRPr="00E70678">
        <w:rPr>
          <w:rFonts w:ascii="Century Gothic" w:hAnsi="Century Gothic" w:cs="Calibri"/>
          <w:color w:val="000000"/>
          <w:sz w:val="24"/>
          <w:szCs w:val="24"/>
          <w:lang w:val="en-GB"/>
        </w:rPr>
        <w:t>vsebovalo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tudi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razdelek</w:t>
      </w:r>
      <w:proofErr w:type="spellEnd"/>
      <w:r w:rsidRPr="00E70678">
        <w:rPr>
          <w:rFonts w:ascii="Century Gothic" w:hAnsi="Century Gothic" w:cs="Calibri"/>
          <w:color w:val="000000"/>
          <w:sz w:val="24"/>
          <w:szCs w:val="24"/>
          <w:lang w:val="en-GB"/>
        </w:rPr>
        <w:t xml:space="preserve"> glede </w:t>
      </w:r>
      <w:proofErr w:type="spellStart"/>
      <w:r w:rsidRPr="00E70678">
        <w:rPr>
          <w:rFonts w:ascii="Century Gothic" w:hAnsi="Century Gothic" w:cs="Calibri"/>
          <w:color w:val="000000"/>
          <w:sz w:val="24"/>
          <w:szCs w:val="24"/>
          <w:lang w:val="en-GB"/>
        </w:rPr>
        <w:t>doseganja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po </w:t>
      </w:r>
      <w:proofErr w:type="spellStart"/>
      <w:r w:rsidRPr="00E70678">
        <w:rPr>
          <w:rFonts w:ascii="Century Gothic" w:hAnsi="Century Gothic" w:cs="Calibri"/>
          <w:color w:val="000000"/>
          <w:sz w:val="24"/>
          <w:szCs w:val="24"/>
          <w:lang w:val="en-GB"/>
        </w:rPr>
        <w:t>Strategiji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lokalnega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razvoja</w:t>
      </w:r>
      <w:proofErr w:type="spellEnd"/>
      <w:r w:rsidRPr="00E70678">
        <w:rPr>
          <w:rFonts w:ascii="Century Gothic" w:hAnsi="Century Gothic" w:cs="Calibri"/>
          <w:color w:val="000000"/>
          <w:sz w:val="24"/>
          <w:szCs w:val="24"/>
          <w:lang w:val="en-GB"/>
        </w:rPr>
        <w:t>.</w:t>
      </w:r>
      <w:r w:rsidRPr="00E70678">
        <w:rPr>
          <w:rFonts w:ascii="Century Gothic" w:hAnsi="Century Gothic" w:cs="Calibri"/>
          <w:b/>
          <w:color w:val="000000"/>
          <w:sz w:val="24"/>
          <w:szCs w:val="24"/>
          <w:lang w:val="en-GB"/>
        </w:rPr>
        <w:t xml:space="preserve"> </w:t>
      </w:r>
      <w:r w:rsidRPr="00E70678">
        <w:rPr>
          <w:rFonts w:ascii="Century Gothic" w:hAnsi="Century Gothic" w:cs="Calibri"/>
          <w:color w:val="000000"/>
          <w:sz w:val="24"/>
          <w:szCs w:val="24"/>
          <w:lang w:val="en-GB"/>
        </w:rPr>
        <w:t xml:space="preserve">Glede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zgornje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podatke</w:t>
      </w:r>
      <w:proofErr w:type="spellEnd"/>
      <w:r w:rsidRPr="00E70678">
        <w:rPr>
          <w:rFonts w:ascii="Century Gothic" w:hAnsi="Century Gothic" w:cs="Calibri"/>
          <w:color w:val="000000"/>
          <w:sz w:val="24"/>
          <w:szCs w:val="24"/>
          <w:lang w:val="en-GB"/>
        </w:rPr>
        <w:t xml:space="preserve">, bi </w:t>
      </w:r>
      <w:proofErr w:type="spellStart"/>
      <w:r w:rsidRPr="00E70678">
        <w:rPr>
          <w:rFonts w:ascii="Century Gothic" w:hAnsi="Century Gothic" w:cs="Calibri"/>
          <w:color w:val="000000"/>
          <w:sz w:val="24"/>
          <w:szCs w:val="24"/>
          <w:lang w:val="en-GB"/>
        </w:rPr>
        <w:t>vsekakor</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morali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prejeti</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dodatna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sredstva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vsaj</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iz</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naslova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preseganja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Število</w:t>
      </w:r>
      <w:proofErr w:type="spellEnd"/>
      <w:r w:rsidRPr="00E70678">
        <w:rPr>
          <w:rFonts w:ascii="Century Gothic" w:hAnsi="Century Gothic" w:cs="Calibri"/>
          <w:color w:val="000000"/>
          <w:sz w:val="24"/>
          <w:szCs w:val="24"/>
          <w:lang w:val="en-GB"/>
        </w:rPr>
        <w:t xml:space="preserve"> novo </w:t>
      </w:r>
      <w:proofErr w:type="spellStart"/>
      <w:r w:rsidRPr="00E70678">
        <w:rPr>
          <w:rFonts w:ascii="Century Gothic" w:hAnsi="Century Gothic" w:cs="Calibri"/>
          <w:color w:val="000000"/>
          <w:sz w:val="24"/>
          <w:szCs w:val="24"/>
          <w:lang w:val="en-GB"/>
        </w:rPr>
        <w:t>ustvarjenih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delovnih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mest</w:t>
      </w:r>
      <w:proofErr w:type="spellEnd"/>
      <w:r w:rsidRPr="00E70678">
        <w:rPr>
          <w:rFonts w:ascii="Century Gothic" w:hAnsi="Century Gothic" w:cs="Calibri"/>
          <w:color w:val="000000"/>
          <w:sz w:val="24"/>
          <w:szCs w:val="24"/>
          <w:lang w:val="en-GB"/>
        </w:rPr>
        <w:t>.</w:t>
      </w:r>
    </w:p>
    <w:p w:rsidR="00E70678" w:rsidRPr="00E70678" w:rsidRDefault="00E70678" w:rsidP="00E70678">
      <w:pPr>
        <w:spacing w:after="0" w:line="240" w:lineRule="auto"/>
        <w:jc w:val="both"/>
        <w:rPr>
          <w:rFonts w:ascii="Century Gothic" w:hAnsi="Century Gothic" w:cs="Calibri"/>
          <w:color w:val="000000"/>
          <w:sz w:val="24"/>
          <w:szCs w:val="24"/>
          <w:lang w:val="en-GB"/>
        </w:rPr>
      </w:pPr>
    </w:p>
    <w:p w:rsidR="00E70678" w:rsidRPr="00E70678" w:rsidRDefault="00E70678" w:rsidP="00E70678">
      <w:pPr>
        <w:spacing w:after="0" w:line="240" w:lineRule="auto"/>
        <w:jc w:val="both"/>
        <w:rPr>
          <w:rFonts w:ascii="Century Gothic" w:hAnsi="Century Gothic" w:cs="Calibri"/>
          <w:color w:val="000000"/>
          <w:sz w:val="24"/>
          <w:szCs w:val="24"/>
          <w:lang w:val="en-GB"/>
        </w:rPr>
      </w:pPr>
      <w:r w:rsidRPr="00E70678">
        <w:rPr>
          <w:rFonts w:ascii="Century Gothic" w:hAnsi="Century Gothic" w:cs="Calibri"/>
          <w:color w:val="000000"/>
          <w:sz w:val="24"/>
          <w:szCs w:val="24"/>
          <w:lang w:val="en-GB"/>
        </w:rPr>
        <w:t xml:space="preserve">V </w:t>
      </w:r>
      <w:proofErr w:type="spellStart"/>
      <w:r w:rsidRPr="00E70678">
        <w:rPr>
          <w:rFonts w:ascii="Century Gothic" w:hAnsi="Century Gothic" w:cs="Calibri"/>
          <w:color w:val="000000"/>
          <w:sz w:val="24"/>
          <w:szCs w:val="24"/>
          <w:lang w:val="en-GB"/>
        </w:rPr>
        <w:t>primeru</w:t>
      </w:r>
      <w:proofErr w:type="spellEnd"/>
      <w:r w:rsidRPr="00E70678">
        <w:rPr>
          <w:rFonts w:ascii="Century Gothic" w:hAnsi="Century Gothic" w:cs="Calibri"/>
          <w:color w:val="000000"/>
          <w:sz w:val="24"/>
          <w:szCs w:val="24"/>
          <w:lang w:val="en-GB"/>
        </w:rPr>
        <w:t xml:space="preserve"> ESRR </w:t>
      </w:r>
      <w:proofErr w:type="spellStart"/>
      <w:r w:rsidRPr="00E70678">
        <w:rPr>
          <w:rFonts w:ascii="Century Gothic" w:hAnsi="Century Gothic" w:cs="Calibri"/>
          <w:color w:val="000000"/>
          <w:sz w:val="24"/>
          <w:szCs w:val="24"/>
          <w:lang w:val="en-GB"/>
        </w:rPr>
        <w:t>sklada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pa</w:t>
      </w:r>
      <w:proofErr w:type="spellEnd"/>
      <w:r w:rsidRPr="00E70678">
        <w:rPr>
          <w:rFonts w:ascii="Century Gothic" w:hAnsi="Century Gothic" w:cs="Calibri"/>
          <w:color w:val="000000"/>
          <w:sz w:val="24"/>
          <w:szCs w:val="24"/>
          <w:lang w:val="en-GB"/>
        </w:rPr>
        <w:t xml:space="preserve"> se </w:t>
      </w:r>
      <w:proofErr w:type="spellStart"/>
      <w:r w:rsidRPr="00E70678">
        <w:rPr>
          <w:rFonts w:ascii="Century Gothic" w:hAnsi="Century Gothic" w:cs="Calibri"/>
          <w:color w:val="000000"/>
          <w:sz w:val="24"/>
          <w:szCs w:val="24"/>
          <w:lang w:val="en-GB"/>
        </w:rPr>
        <w:t>sredstva</w:t>
      </w:r>
      <w:proofErr w:type="spellEnd"/>
      <w:r w:rsidRPr="00E70678">
        <w:rPr>
          <w:rFonts w:ascii="Century Gothic" w:hAnsi="Century Gothic" w:cs="Calibri"/>
          <w:color w:val="000000"/>
          <w:sz w:val="24"/>
          <w:szCs w:val="24"/>
          <w:lang w:val="en-GB"/>
        </w:rPr>
        <w:t xml:space="preserve"> ne </w:t>
      </w:r>
      <w:proofErr w:type="spellStart"/>
      <w:r w:rsidRPr="00E70678">
        <w:rPr>
          <w:rFonts w:ascii="Century Gothic" w:hAnsi="Century Gothic" w:cs="Calibri"/>
          <w:color w:val="000000"/>
          <w:sz w:val="24"/>
          <w:szCs w:val="24"/>
          <w:lang w:val="en-GB"/>
        </w:rPr>
        <w:t>bo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razdeljevala</w:t>
      </w:r>
      <w:proofErr w:type="spellEnd"/>
      <w:r w:rsidRPr="00E70678">
        <w:rPr>
          <w:rFonts w:ascii="Century Gothic" w:hAnsi="Century Gothic" w:cs="Calibri"/>
          <w:color w:val="000000"/>
          <w:sz w:val="24"/>
          <w:szCs w:val="24"/>
          <w:lang w:val="en-GB"/>
        </w:rPr>
        <w:t xml:space="preserve"> glede </w:t>
      </w:r>
      <w:proofErr w:type="spellStart"/>
      <w:r w:rsidRPr="00E70678">
        <w:rPr>
          <w:rFonts w:ascii="Century Gothic" w:hAnsi="Century Gothic" w:cs="Calibri"/>
          <w:color w:val="000000"/>
          <w:sz w:val="24"/>
          <w:szCs w:val="24"/>
          <w:lang w:val="en-GB"/>
        </w:rPr>
        <w:t>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uspešnost</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doseganja</w:t>
      </w:r>
      <w:proofErr w:type="spellEnd"/>
      <w:r w:rsidRPr="00E70678">
        <w:rPr>
          <w:rFonts w:ascii="Century Gothic" w:hAnsi="Century Gothic" w:cs="Calibri"/>
          <w:color w:val="000000"/>
          <w:sz w:val="24"/>
          <w:szCs w:val="24"/>
          <w:lang w:val="en-GB"/>
        </w:rPr>
        <w:t>/</w:t>
      </w:r>
      <w:proofErr w:type="spellStart"/>
      <w:r w:rsidRPr="00E70678">
        <w:rPr>
          <w:rFonts w:ascii="Century Gothic" w:hAnsi="Century Gothic" w:cs="Calibri"/>
          <w:color w:val="000000"/>
          <w:sz w:val="24"/>
          <w:szCs w:val="24"/>
          <w:lang w:val="en-GB"/>
        </w:rPr>
        <w:t>preseganja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kazalnikov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ampak</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ostajajo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določena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nerazporejena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sredstva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ki</w:t>
      </w:r>
      <w:proofErr w:type="spellEnd"/>
      <w:r w:rsidRPr="00E70678">
        <w:rPr>
          <w:rFonts w:ascii="Century Gothic" w:hAnsi="Century Gothic" w:cs="Calibri"/>
          <w:color w:val="000000"/>
          <w:sz w:val="24"/>
          <w:szCs w:val="24"/>
          <w:lang w:val="en-GB"/>
        </w:rPr>
        <w:t xml:space="preserve"> se </w:t>
      </w:r>
      <w:proofErr w:type="spellStart"/>
      <w:r w:rsidRPr="00E70678">
        <w:rPr>
          <w:rFonts w:ascii="Century Gothic" w:hAnsi="Century Gothic" w:cs="Calibri"/>
          <w:color w:val="000000"/>
          <w:sz w:val="24"/>
          <w:szCs w:val="24"/>
          <w:lang w:val="en-GB"/>
        </w:rPr>
        <w:t>bodo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enakovredno</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porazdelila</w:t>
      </w:r>
      <w:proofErr w:type="spellEnd"/>
      <w:r w:rsidRPr="00E70678">
        <w:rPr>
          <w:rFonts w:ascii="Century Gothic" w:hAnsi="Century Gothic" w:cs="Calibri"/>
          <w:color w:val="000000"/>
          <w:sz w:val="24"/>
          <w:szCs w:val="24"/>
          <w:lang w:val="en-GB"/>
        </w:rPr>
        <w:t xml:space="preserve"> med </w:t>
      </w:r>
      <w:proofErr w:type="spellStart"/>
      <w:r w:rsidRPr="00E70678">
        <w:rPr>
          <w:rFonts w:ascii="Century Gothic" w:hAnsi="Century Gothic" w:cs="Calibri"/>
          <w:color w:val="000000"/>
          <w:sz w:val="24"/>
          <w:szCs w:val="24"/>
          <w:lang w:val="en-GB"/>
        </w:rPr>
        <w:t>vse</w:t>
      </w:r>
      <w:proofErr w:type="spellEnd"/>
      <w:r w:rsidRPr="00E70678">
        <w:rPr>
          <w:rFonts w:ascii="Century Gothic" w:hAnsi="Century Gothic" w:cs="Calibri"/>
          <w:color w:val="000000"/>
          <w:sz w:val="24"/>
          <w:szCs w:val="24"/>
          <w:lang w:val="en-GB"/>
        </w:rPr>
        <w:t xml:space="preserve"> LAS-e. </w:t>
      </w:r>
      <w:proofErr w:type="spellStart"/>
      <w:r w:rsidRPr="00E70678">
        <w:rPr>
          <w:rFonts w:ascii="Century Gothic" w:hAnsi="Century Gothic" w:cs="Calibri"/>
          <w:color w:val="000000"/>
          <w:sz w:val="24"/>
          <w:szCs w:val="24"/>
          <w:lang w:val="en-GB"/>
        </w:rPr>
        <w:t>Višina</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nerazporejenih</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sredstev</w:t>
      </w:r>
      <w:proofErr w:type="spellEnd"/>
      <w:r w:rsidRPr="00E70678">
        <w:rPr>
          <w:rFonts w:ascii="Century Gothic" w:hAnsi="Century Gothic" w:cs="Calibri"/>
          <w:color w:val="000000"/>
          <w:sz w:val="24"/>
          <w:szCs w:val="24"/>
          <w:lang w:val="en-GB"/>
        </w:rPr>
        <w:t xml:space="preserve"> je </w:t>
      </w:r>
      <w:proofErr w:type="spellStart"/>
      <w:r w:rsidRPr="00E70678">
        <w:rPr>
          <w:rFonts w:ascii="Century Gothic" w:hAnsi="Century Gothic" w:cs="Calibri"/>
          <w:color w:val="000000"/>
          <w:sz w:val="24"/>
          <w:szCs w:val="24"/>
          <w:lang w:val="en-GB"/>
        </w:rPr>
        <w:t>cca</w:t>
      </w:r>
      <w:proofErr w:type="spellEnd"/>
      <w:r w:rsidRPr="00E70678">
        <w:rPr>
          <w:rFonts w:ascii="Century Gothic" w:hAnsi="Century Gothic" w:cs="Calibri"/>
          <w:color w:val="000000"/>
          <w:sz w:val="24"/>
          <w:szCs w:val="24"/>
          <w:lang w:val="en-GB"/>
        </w:rPr>
        <w:t xml:space="preserve">. 6 </w:t>
      </w:r>
      <w:proofErr w:type="spellStart"/>
      <w:r w:rsidRPr="00E70678">
        <w:rPr>
          <w:rFonts w:ascii="Century Gothic" w:hAnsi="Century Gothic" w:cs="Calibri"/>
          <w:color w:val="000000"/>
          <w:sz w:val="24"/>
          <w:szCs w:val="24"/>
          <w:lang w:val="en-GB"/>
        </w:rPr>
        <w:t>mio</w:t>
      </w:r>
      <w:proofErr w:type="spellEnd"/>
      <w:r w:rsidRPr="00E70678">
        <w:rPr>
          <w:rFonts w:ascii="Century Gothic" w:hAnsi="Century Gothic" w:cs="Calibri"/>
          <w:color w:val="000000"/>
          <w:sz w:val="24"/>
          <w:szCs w:val="24"/>
          <w:lang w:val="en-GB"/>
        </w:rPr>
        <w:t xml:space="preserve"> €, </w:t>
      </w:r>
      <w:proofErr w:type="spellStart"/>
      <w:r w:rsidRPr="00E70678">
        <w:rPr>
          <w:rFonts w:ascii="Century Gothic" w:hAnsi="Century Gothic" w:cs="Calibri"/>
          <w:color w:val="000000"/>
          <w:sz w:val="24"/>
          <w:szCs w:val="24"/>
          <w:lang w:val="en-GB"/>
        </w:rPr>
        <w:t>vendar</w:t>
      </w:r>
      <w:proofErr w:type="spellEnd"/>
      <w:r w:rsidRPr="00E70678">
        <w:rPr>
          <w:rFonts w:ascii="Century Gothic" w:hAnsi="Century Gothic" w:cs="Calibri"/>
          <w:color w:val="000000"/>
          <w:sz w:val="24"/>
          <w:szCs w:val="24"/>
          <w:lang w:val="en-GB"/>
        </w:rPr>
        <w:t xml:space="preserve"> se </w:t>
      </w:r>
      <w:proofErr w:type="spellStart"/>
      <w:r w:rsidRPr="00E70678">
        <w:rPr>
          <w:rFonts w:ascii="Century Gothic" w:hAnsi="Century Gothic" w:cs="Calibri"/>
          <w:color w:val="000000"/>
          <w:sz w:val="24"/>
          <w:szCs w:val="24"/>
          <w:lang w:val="en-GB"/>
        </w:rPr>
        <w:t>bo</w:t>
      </w:r>
      <w:proofErr w:type="spellEnd"/>
      <w:r w:rsidRPr="00E70678">
        <w:rPr>
          <w:rFonts w:ascii="Century Gothic" w:hAnsi="Century Gothic" w:cs="Calibri"/>
          <w:color w:val="000000"/>
          <w:sz w:val="24"/>
          <w:szCs w:val="24"/>
          <w:lang w:val="en-GB"/>
        </w:rPr>
        <w:t xml:space="preserve"> del the </w:t>
      </w:r>
      <w:proofErr w:type="spellStart"/>
      <w:r w:rsidRPr="00E70678">
        <w:rPr>
          <w:rFonts w:ascii="Century Gothic" w:hAnsi="Century Gothic" w:cs="Calibri"/>
          <w:color w:val="000000"/>
          <w:sz w:val="24"/>
          <w:szCs w:val="24"/>
          <w:lang w:val="en-GB"/>
        </w:rPr>
        <w:t>sredstev</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namenil</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tudi</w:t>
      </w:r>
      <w:proofErr w:type="spellEnd"/>
      <w:r w:rsidRPr="00E70678">
        <w:rPr>
          <w:rFonts w:ascii="Century Gothic" w:hAnsi="Century Gothic" w:cs="Calibri"/>
          <w:color w:val="000000"/>
          <w:sz w:val="24"/>
          <w:szCs w:val="24"/>
          <w:lang w:val="en-GB"/>
        </w:rPr>
        <w:t xml:space="preserve"> za </w:t>
      </w:r>
      <w:proofErr w:type="spellStart"/>
      <w:r w:rsidRPr="00E70678">
        <w:rPr>
          <w:rFonts w:ascii="Century Gothic" w:hAnsi="Century Gothic" w:cs="Calibri"/>
          <w:color w:val="000000"/>
          <w:sz w:val="24"/>
          <w:szCs w:val="24"/>
          <w:lang w:val="en-GB"/>
        </w:rPr>
        <w:t>nekatere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druge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ukrepe</w:t>
      </w:r>
      <w:proofErr w:type="spellEnd"/>
      <w:r w:rsidRPr="00E70678">
        <w:rPr>
          <w:rFonts w:ascii="Century Gothic" w:hAnsi="Century Gothic" w:cs="Calibri"/>
          <w:color w:val="000000"/>
          <w:sz w:val="24"/>
          <w:szCs w:val="24"/>
          <w:lang w:val="en-GB"/>
        </w:rPr>
        <w:t xml:space="preserve"> v </w:t>
      </w:r>
      <w:proofErr w:type="spellStart"/>
      <w:r w:rsidRPr="00E70678">
        <w:rPr>
          <w:rFonts w:ascii="Century Gothic" w:hAnsi="Century Gothic" w:cs="Calibri"/>
          <w:color w:val="000000"/>
          <w:sz w:val="24"/>
          <w:szCs w:val="24"/>
          <w:lang w:val="en-GB"/>
        </w:rPr>
        <w:t>sklopu</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Evropske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kohezijske</w:t>
      </w:r>
      <w:proofErr w:type="spellEnd"/>
      <w:r w:rsidRPr="00E70678">
        <w:rPr>
          <w:rFonts w:ascii="Century Gothic" w:hAnsi="Century Gothic" w:cs="Calibri"/>
          <w:color w:val="000000"/>
          <w:sz w:val="24"/>
          <w:szCs w:val="24"/>
          <w:lang w:val="en-GB"/>
        </w:rPr>
        <w:t xml:space="preserve"> </w:t>
      </w:r>
      <w:proofErr w:type="spellStart"/>
      <w:r w:rsidRPr="00E70678">
        <w:rPr>
          <w:rFonts w:ascii="Century Gothic" w:hAnsi="Century Gothic" w:cs="Calibri"/>
          <w:color w:val="000000"/>
          <w:sz w:val="24"/>
          <w:szCs w:val="24"/>
          <w:lang w:val="en-GB"/>
        </w:rPr>
        <w:t>politike</w:t>
      </w:r>
      <w:proofErr w:type="spellEnd"/>
      <w:r w:rsidRPr="00E70678">
        <w:rPr>
          <w:rFonts w:ascii="Century Gothic" w:hAnsi="Century Gothic" w:cs="Calibri"/>
          <w:color w:val="000000"/>
          <w:sz w:val="24"/>
          <w:szCs w:val="24"/>
          <w:lang w:val="en-GB"/>
        </w:rPr>
        <w:t xml:space="preserve"> 2014-2020. </w:t>
      </w:r>
    </w:p>
    <w:p w:rsidR="00E70678" w:rsidRPr="00E70678" w:rsidRDefault="00E70678" w:rsidP="00E70678">
      <w:pPr>
        <w:spacing w:after="0" w:line="240" w:lineRule="auto"/>
        <w:jc w:val="both"/>
        <w:rPr>
          <w:rFonts w:ascii="Century Gothic" w:hAnsi="Century Gothic" w:cs="Calibri"/>
          <w:color w:val="000000"/>
          <w:sz w:val="24"/>
          <w:szCs w:val="24"/>
          <w:lang w:val="en-GB"/>
        </w:rPr>
      </w:pPr>
    </w:p>
    <w:p w:rsidR="00E70678" w:rsidRDefault="00E70678" w:rsidP="00E70678">
      <w:pPr>
        <w:widowControl w:val="0"/>
        <w:tabs>
          <w:tab w:val="left" w:pos="1544"/>
        </w:tabs>
        <w:autoSpaceDE w:val="0"/>
        <w:autoSpaceDN w:val="0"/>
        <w:adjustRightInd w:val="0"/>
        <w:spacing w:after="0" w:line="276" w:lineRule="auto"/>
        <w:jc w:val="both"/>
        <w:rPr>
          <w:rFonts w:ascii="Arial" w:hAnsi="Arial" w:cs="Arial"/>
          <w:b/>
          <w:bCs/>
          <w:sz w:val="20"/>
          <w:szCs w:val="20"/>
        </w:rPr>
      </w:pPr>
    </w:p>
    <w:p w:rsidR="00E70678" w:rsidRPr="00E70678" w:rsidRDefault="00E70678" w:rsidP="00E70678">
      <w:pPr>
        <w:pStyle w:val="Odstavekseznama"/>
        <w:widowControl w:val="0"/>
        <w:numPr>
          <w:ilvl w:val="0"/>
          <w:numId w:val="1"/>
        </w:numPr>
        <w:tabs>
          <w:tab w:val="left" w:pos="1544"/>
        </w:tabs>
        <w:autoSpaceDE w:val="0"/>
        <w:autoSpaceDN w:val="0"/>
        <w:adjustRightInd w:val="0"/>
        <w:spacing w:after="0" w:line="276" w:lineRule="auto"/>
        <w:jc w:val="both"/>
        <w:rPr>
          <w:rFonts w:ascii="Century Gothic" w:hAnsi="Century Gothic" w:cs="Arial"/>
          <w:b/>
          <w:bCs/>
          <w:sz w:val="24"/>
          <w:szCs w:val="24"/>
        </w:rPr>
      </w:pPr>
      <w:r w:rsidRPr="00E70678">
        <w:rPr>
          <w:rFonts w:ascii="Century Gothic" w:hAnsi="Century Gothic" w:cs="Arial"/>
          <w:b/>
          <w:bCs/>
          <w:sz w:val="24"/>
          <w:szCs w:val="24"/>
        </w:rPr>
        <w:t xml:space="preserve">PREGLED KORIŠČENJA SREDSTEV IN IZVEDENIH OPERACIJ OZ. OPERACIJ V IZVAJANJU PO POSAMENIH OBČINAH </w:t>
      </w: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Cs/>
          <w:sz w:val="24"/>
          <w:szCs w:val="24"/>
        </w:rPr>
      </w:pPr>
      <w:r w:rsidRPr="00E70678">
        <w:rPr>
          <w:rFonts w:ascii="Century Gothic" w:hAnsi="Century Gothic" w:cs="Arial"/>
          <w:bCs/>
          <w:sz w:val="24"/>
          <w:szCs w:val="24"/>
        </w:rPr>
        <w:t xml:space="preserve">V spodnji tabeli vam posredujemo podatke o koriščenju sredstev iz obeh skladov (glede na odobrene operacije s strani Agencije RS za kmetijske trge in razvoj podeželja in Ministrstva za gospodarski razvoj in tehnologijo) po posameznih občinah, glede na izvedene 3. Javne pozive Partnerstva LAS Zasavje (torej podatki niso na presečni datum 31.12.2018). V tabeli vam je predstavljen finančni razrez po posameznih operacijah, navedeno število operacij, ki so bile že izvedene oz. se izvajajo v posamezni občini ter konkretni dosežki same operacije (naložba, delovno mesto). </w:t>
      </w: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lastRenderedPageBreak/>
        <w:t xml:space="preserve">Tabela: Koriščenje sredstev občine Hrastnik </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Cs/>
          <w:sz w:val="20"/>
          <w:szCs w:val="20"/>
        </w:rPr>
      </w:pPr>
      <w:r w:rsidRPr="00E70678">
        <w:rPr>
          <w:rFonts w:ascii="Century Gothic" w:hAnsi="Century Gothic" w:cs="Arial"/>
          <w:b/>
          <w:bCs/>
          <w:sz w:val="20"/>
          <w:szCs w:val="20"/>
        </w:rPr>
        <w:t xml:space="preserve">Število odobrenih operacij: </w:t>
      </w:r>
      <w:r w:rsidRPr="00E70678">
        <w:rPr>
          <w:rFonts w:ascii="Century Gothic" w:hAnsi="Century Gothic" w:cs="Arial"/>
          <w:bCs/>
          <w:sz w:val="20"/>
          <w:szCs w:val="20"/>
        </w:rPr>
        <w:t>4</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tbl>
      <w:tblPr>
        <w:tblW w:w="10540" w:type="dxa"/>
        <w:jc w:val="center"/>
        <w:tblCellMar>
          <w:left w:w="70" w:type="dxa"/>
          <w:right w:w="70" w:type="dxa"/>
        </w:tblCellMar>
        <w:tblLook w:val="04A0" w:firstRow="1" w:lastRow="0" w:firstColumn="1" w:lastColumn="0" w:noHBand="0" w:noVBand="1"/>
      </w:tblPr>
      <w:tblGrid>
        <w:gridCol w:w="3500"/>
        <w:gridCol w:w="2020"/>
        <w:gridCol w:w="3300"/>
        <w:gridCol w:w="1720"/>
      </w:tblGrid>
      <w:tr w:rsidR="00E70678" w:rsidRPr="00E70678" w:rsidTr="008345E9">
        <w:trPr>
          <w:trHeight w:val="300"/>
          <w:jc w:val="center"/>
        </w:trPr>
        <w:tc>
          <w:tcPr>
            <w:tcW w:w="3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Operacija </w:t>
            </w:r>
          </w:p>
        </w:tc>
        <w:tc>
          <w:tcPr>
            <w:tcW w:w="20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Vrednost </w:t>
            </w:r>
          </w:p>
        </w:tc>
        <w:tc>
          <w:tcPr>
            <w:tcW w:w="330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Učinek operacije </w:t>
            </w:r>
          </w:p>
        </w:tc>
        <w:tc>
          <w:tcPr>
            <w:tcW w:w="17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Status operacije </w:t>
            </w:r>
          </w:p>
        </w:tc>
      </w:tr>
      <w:tr w:rsidR="00E70678" w:rsidRPr="00E70678" w:rsidTr="008345E9">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TIC HRASTNIK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57.799,62</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nov TIC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izvedena 1. faza</w:t>
            </w:r>
          </w:p>
        </w:tc>
      </w:tr>
      <w:tr w:rsidR="00E70678" w:rsidRPr="00E70678" w:rsidTr="008345E9">
        <w:trPr>
          <w:trHeight w:val="6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Steklarna Hrastnik vabi v Zasavje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17.705,50</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nadgradnja vodenih ogledov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izvedena v celoti</w:t>
            </w:r>
          </w:p>
        </w:tc>
      </w:tr>
      <w:tr w:rsidR="00E70678" w:rsidRPr="00E70678" w:rsidTr="008345E9">
        <w:trPr>
          <w:trHeight w:val="6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"RONDO-Restavracija zdravih jedi"</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59.288,13</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dodatna gostinska ponudba in prenova lokala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v izvajanju </w:t>
            </w:r>
          </w:p>
        </w:tc>
      </w:tr>
      <w:tr w:rsidR="00E70678" w:rsidRPr="00E70678" w:rsidTr="008345E9">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Prenova tržnice v Hrastniku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59.117,81</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prenova tržnice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v izvajanju </w:t>
            </w:r>
          </w:p>
        </w:tc>
      </w:tr>
      <w:tr w:rsidR="00E70678" w:rsidRPr="00E70678" w:rsidTr="008345E9">
        <w:trPr>
          <w:trHeight w:val="300"/>
          <w:jc w:val="center"/>
        </w:trPr>
        <w:tc>
          <w:tcPr>
            <w:tcW w:w="350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rPr>
                <w:rFonts w:ascii="Century Gothic" w:eastAsia="Times New Roman" w:hAnsi="Century Gothic" w:cs="Calibri"/>
                <w:b/>
                <w:color w:val="000000"/>
              </w:rPr>
            </w:pPr>
            <w:r w:rsidRPr="00E70678">
              <w:rPr>
                <w:rFonts w:ascii="Century Gothic" w:eastAsia="Times New Roman" w:hAnsi="Century Gothic" w:cs="Calibri"/>
                <w:b/>
                <w:color w:val="000000"/>
              </w:rPr>
              <w:t> SKUPAJ</w:t>
            </w:r>
          </w:p>
        </w:tc>
        <w:tc>
          <w:tcPr>
            <w:tcW w:w="2020" w:type="dxa"/>
            <w:tcBorders>
              <w:top w:val="nil"/>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right"/>
              <w:rPr>
                <w:rFonts w:ascii="Century Gothic" w:eastAsia="Times New Roman" w:hAnsi="Century Gothic" w:cs="Calibri"/>
                <w:b/>
                <w:color w:val="000000"/>
              </w:rPr>
            </w:pPr>
            <w:r w:rsidRPr="00E70678">
              <w:rPr>
                <w:rFonts w:ascii="Century Gothic" w:eastAsia="Times New Roman" w:hAnsi="Century Gothic" w:cs="Calibri"/>
                <w:b/>
                <w:color w:val="000000"/>
              </w:rPr>
              <w:t>193.911,06</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r>
    </w:tbl>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t xml:space="preserve">Tabela: Koriščenje sredstev občine Trbovlje </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t xml:space="preserve">Število odobrenih operacij: </w:t>
      </w:r>
      <w:r w:rsidRPr="00E70678">
        <w:rPr>
          <w:rFonts w:ascii="Century Gothic" w:hAnsi="Century Gothic" w:cs="Arial"/>
          <w:bCs/>
          <w:sz w:val="20"/>
          <w:szCs w:val="20"/>
        </w:rPr>
        <w:t>7</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tbl>
      <w:tblPr>
        <w:tblW w:w="10280" w:type="dxa"/>
        <w:jc w:val="center"/>
        <w:tblCellMar>
          <w:left w:w="70" w:type="dxa"/>
          <w:right w:w="70" w:type="dxa"/>
        </w:tblCellMar>
        <w:tblLook w:val="04A0" w:firstRow="1" w:lastRow="0" w:firstColumn="1" w:lastColumn="0" w:noHBand="0" w:noVBand="1"/>
      </w:tblPr>
      <w:tblGrid>
        <w:gridCol w:w="3240"/>
        <w:gridCol w:w="2020"/>
        <w:gridCol w:w="3300"/>
        <w:gridCol w:w="1720"/>
      </w:tblGrid>
      <w:tr w:rsidR="00E70678" w:rsidRPr="00E70678" w:rsidTr="008345E9">
        <w:trPr>
          <w:trHeight w:val="300"/>
          <w:jc w:val="center"/>
        </w:trPr>
        <w:tc>
          <w:tcPr>
            <w:tcW w:w="32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Operacija </w:t>
            </w:r>
          </w:p>
        </w:tc>
        <w:tc>
          <w:tcPr>
            <w:tcW w:w="20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Vrednost </w:t>
            </w:r>
          </w:p>
        </w:tc>
        <w:tc>
          <w:tcPr>
            <w:tcW w:w="330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Učinek operacije </w:t>
            </w:r>
          </w:p>
        </w:tc>
        <w:tc>
          <w:tcPr>
            <w:tcW w:w="17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Status operacije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Oživitev mizarske tradicije v Zasavju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80,000,00</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nakup stroja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izvedena v celoti</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4.DRITL-VMR (vsebine)</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13.670,05</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vsebine za 4. DRITL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izvedena v celoti</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Trajnostna ureditev OŠ Ivana Cankarja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51.187,02</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ureditev okolice šole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izvedena v celoti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Mobilno Zasavje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50.717,62</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mobilna prikolica </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v potrjevanju na MGRT</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Partnerstvo za pospeševanje podjetništva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21.689,03</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novo ustvarjeno delovno mesto</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v potrjevanju na MGRT</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Turizem za kmetiji Verk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60.000,00</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samozaposlitev, prenova apartmajev </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Pr>
                <w:rFonts w:ascii="Century Gothic" w:eastAsia="Times New Roman" w:hAnsi="Century Gothic" w:cs="Calibri"/>
                <w:color w:val="000000"/>
              </w:rPr>
              <w:t xml:space="preserve">pritožba v obravnavi </w:t>
            </w:r>
          </w:p>
        </w:tc>
      </w:tr>
      <w:tr w:rsidR="00E70678" w:rsidRPr="00E70678" w:rsidTr="008345E9">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Izkustvena učilnica Tončke Čeč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59.884,67</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preureditev objekta KS Klek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v izvajanju </w:t>
            </w:r>
          </w:p>
        </w:tc>
      </w:tr>
      <w:tr w:rsidR="00E70678" w:rsidRPr="00E70678" w:rsidTr="008345E9">
        <w:trPr>
          <w:trHeight w:val="300"/>
          <w:jc w:val="center"/>
        </w:trPr>
        <w:tc>
          <w:tcPr>
            <w:tcW w:w="324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rPr>
                <w:rFonts w:ascii="Century Gothic" w:eastAsia="Times New Roman" w:hAnsi="Century Gothic" w:cs="Calibri"/>
                <w:b/>
                <w:color w:val="000000"/>
              </w:rPr>
            </w:pPr>
            <w:r w:rsidRPr="00E70678">
              <w:rPr>
                <w:rFonts w:ascii="Century Gothic" w:eastAsia="Times New Roman" w:hAnsi="Century Gothic" w:cs="Calibri"/>
                <w:b/>
                <w:color w:val="000000"/>
              </w:rPr>
              <w:t> SKUPAJ</w:t>
            </w:r>
          </w:p>
        </w:tc>
        <w:tc>
          <w:tcPr>
            <w:tcW w:w="2020" w:type="dxa"/>
            <w:tcBorders>
              <w:top w:val="nil"/>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right"/>
              <w:rPr>
                <w:rFonts w:ascii="Century Gothic" w:eastAsia="Times New Roman" w:hAnsi="Century Gothic" w:cs="Calibri"/>
                <w:b/>
                <w:color w:val="000000"/>
              </w:rPr>
            </w:pPr>
            <w:r w:rsidRPr="00E70678">
              <w:rPr>
                <w:rFonts w:ascii="Century Gothic" w:eastAsia="Times New Roman" w:hAnsi="Century Gothic" w:cs="Calibri"/>
                <w:b/>
                <w:color w:val="000000"/>
              </w:rPr>
              <w:t>337.148,39</w:t>
            </w:r>
          </w:p>
        </w:tc>
        <w:tc>
          <w:tcPr>
            <w:tcW w:w="330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r>
    </w:tbl>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lastRenderedPageBreak/>
        <w:t xml:space="preserve">Tabela: Koriščenje sredstev občine Zagorje ob Savi </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t>Število odobrenih operacij:</w:t>
      </w:r>
      <w:r w:rsidRPr="00E70678">
        <w:rPr>
          <w:rFonts w:ascii="Century Gothic" w:hAnsi="Century Gothic" w:cs="Arial"/>
          <w:bCs/>
          <w:sz w:val="20"/>
          <w:szCs w:val="20"/>
        </w:rPr>
        <w:t xml:space="preserve"> 6</w:t>
      </w: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tbl>
      <w:tblPr>
        <w:tblW w:w="10280" w:type="dxa"/>
        <w:jc w:val="center"/>
        <w:tblCellMar>
          <w:left w:w="70" w:type="dxa"/>
          <w:right w:w="70" w:type="dxa"/>
        </w:tblCellMar>
        <w:tblLook w:val="04A0" w:firstRow="1" w:lastRow="0" w:firstColumn="1" w:lastColumn="0" w:noHBand="0" w:noVBand="1"/>
      </w:tblPr>
      <w:tblGrid>
        <w:gridCol w:w="3240"/>
        <w:gridCol w:w="2020"/>
        <w:gridCol w:w="3300"/>
        <w:gridCol w:w="1720"/>
      </w:tblGrid>
      <w:tr w:rsidR="00E70678" w:rsidRPr="00E70678" w:rsidTr="008345E9">
        <w:trPr>
          <w:trHeight w:val="300"/>
          <w:jc w:val="center"/>
        </w:trPr>
        <w:tc>
          <w:tcPr>
            <w:tcW w:w="32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Operacija </w:t>
            </w:r>
          </w:p>
        </w:tc>
        <w:tc>
          <w:tcPr>
            <w:tcW w:w="20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Vrednost </w:t>
            </w:r>
          </w:p>
        </w:tc>
        <w:tc>
          <w:tcPr>
            <w:tcW w:w="330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Učinek operacije </w:t>
            </w:r>
          </w:p>
        </w:tc>
        <w:tc>
          <w:tcPr>
            <w:tcW w:w="17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Status operacije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Revitalizacija javnih objektov Šentlambert</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56.091,61</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samozaposlitev, prenova javnih objektov</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izvedena 1. faza </w:t>
            </w:r>
          </w:p>
        </w:tc>
      </w:tr>
      <w:tr w:rsidR="00E70678" w:rsidRPr="00E70678" w:rsidTr="008345E9">
        <w:trPr>
          <w:trHeight w:val="3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RSTARS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34.055,28</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prenova stare vaške šole v Tirni</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izvedena v celoti</w:t>
            </w:r>
          </w:p>
        </w:tc>
      </w:tr>
      <w:tr w:rsidR="00E70678" w:rsidRPr="00E70678" w:rsidTr="008345E9">
        <w:trPr>
          <w:trHeight w:val="3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Novo rojstvo</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63.118,80</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novo ustvarjeno delovno mesto</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izvedena v celoti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Nasmeh za vse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67.087,50</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novo ustvarjeno delovno mesto, nakup opreme za varovance VDC </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izvedena v celoti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Povezovanje za znanje Šentgotard </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27.430,69</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prenova skupnega prostora TD Šentgotard </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v izvajanju </w:t>
            </w:r>
          </w:p>
        </w:tc>
      </w:tr>
      <w:tr w:rsidR="00E70678" w:rsidRPr="00E70678" w:rsidTr="008345E9">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Mreža zasavskih proizvajalcev in kmetov - Skupaj tiskamo etikete </w:t>
            </w:r>
          </w:p>
        </w:tc>
        <w:tc>
          <w:tcPr>
            <w:tcW w:w="2020" w:type="dxa"/>
            <w:tcBorders>
              <w:top w:val="nil"/>
              <w:left w:val="nil"/>
              <w:bottom w:val="nil"/>
              <w:right w:val="nil"/>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54.244,13</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ustvarjeno pokritje, nabava opreme za tiskanje etiket </w:t>
            </w:r>
          </w:p>
        </w:tc>
        <w:tc>
          <w:tcPr>
            <w:tcW w:w="172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v izvajanju </w:t>
            </w:r>
          </w:p>
        </w:tc>
      </w:tr>
      <w:tr w:rsidR="00E70678" w:rsidRPr="00E70678" w:rsidTr="008345E9">
        <w:trPr>
          <w:trHeight w:val="300"/>
          <w:jc w:val="center"/>
        </w:trPr>
        <w:tc>
          <w:tcPr>
            <w:tcW w:w="324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rPr>
                <w:rFonts w:ascii="Century Gothic" w:eastAsia="Times New Roman" w:hAnsi="Century Gothic" w:cs="Calibri"/>
                <w:b/>
                <w:color w:val="000000"/>
              </w:rPr>
            </w:pPr>
            <w:r w:rsidRPr="00E70678">
              <w:rPr>
                <w:rFonts w:ascii="Century Gothic" w:eastAsia="Times New Roman" w:hAnsi="Century Gothic" w:cs="Calibri"/>
                <w:b/>
                <w:color w:val="000000"/>
              </w:rPr>
              <w:t> SKUPAJ</w:t>
            </w:r>
          </w:p>
        </w:tc>
        <w:tc>
          <w:tcPr>
            <w:tcW w:w="2020"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right"/>
              <w:rPr>
                <w:rFonts w:ascii="Century Gothic" w:eastAsia="Times New Roman" w:hAnsi="Century Gothic" w:cs="Calibri"/>
                <w:b/>
                <w:color w:val="000000"/>
              </w:rPr>
            </w:pPr>
            <w:r w:rsidRPr="00E70678">
              <w:rPr>
                <w:rFonts w:ascii="Century Gothic" w:eastAsia="Times New Roman" w:hAnsi="Century Gothic" w:cs="Calibri"/>
                <w:b/>
                <w:color w:val="000000"/>
              </w:rPr>
              <w:t>302.028,01</w:t>
            </w:r>
          </w:p>
        </w:tc>
        <w:tc>
          <w:tcPr>
            <w:tcW w:w="33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w:t>
            </w:r>
          </w:p>
        </w:tc>
      </w:tr>
    </w:tbl>
    <w:p w:rsid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0"/>
          <w:szCs w:val="20"/>
        </w:rPr>
      </w:pPr>
      <w:r w:rsidRPr="00E70678">
        <w:rPr>
          <w:rFonts w:ascii="Century Gothic" w:hAnsi="Century Gothic" w:cs="Arial"/>
          <w:b/>
          <w:bCs/>
          <w:sz w:val="20"/>
          <w:szCs w:val="20"/>
        </w:rPr>
        <w:t xml:space="preserve">Tabela: Skupno koriščenje vseh treh občin </w:t>
      </w:r>
      <w:bookmarkStart w:id="0" w:name="_GoBack"/>
      <w:bookmarkEnd w:id="0"/>
    </w:p>
    <w:p w:rsidR="00E70678" w:rsidRPr="00E70678" w:rsidRDefault="00E70678" w:rsidP="00E70678">
      <w:pPr>
        <w:widowControl w:val="0"/>
        <w:tabs>
          <w:tab w:val="left" w:pos="1544"/>
        </w:tabs>
        <w:autoSpaceDE w:val="0"/>
        <w:autoSpaceDN w:val="0"/>
        <w:adjustRightInd w:val="0"/>
        <w:spacing w:after="0" w:line="276" w:lineRule="auto"/>
        <w:jc w:val="both"/>
        <w:rPr>
          <w:rFonts w:ascii="Century Gothic" w:hAnsi="Century Gothic" w:cs="Arial"/>
          <w:b/>
          <w:bCs/>
          <w:sz w:val="24"/>
          <w:szCs w:val="24"/>
        </w:rPr>
      </w:pPr>
    </w:p>
    <w:tbl>
      <w:tblPr>
        <w:tblW w:w="10820" w:type="dxa"/>
        <w:jc w:val="center"/>
        <w:tblCellMar>
          <w:left w:w="70" w:type="dxa"/>
          <w:right w:w="70" w:type="dxa"/>
        </w:tblCellMar>
        <w:tblLook w:val="04A0" w:firstRow="1" w:lastRow="0" w:firstColumn="1" w:lastColumn="0" w:noHBand="0" w:noVBand="1"/>
      </w:tblPr>
      <w:tblGrid>
        <w:gridCol w:w="1760"/>
        <w:gridCol w:w="3240"/>
        <w:gridCol w:w="2020"/>
        <w:gridCol w:w="3800"/>
      </w:tblGrid>
      <w:tr w:rsidR="00E70678" w:rsidRPr="00E70678" w:rsidTr="008345E9">
        <w:trPr>
          <w:trHeight w:val="300"/>
          <w:jc w:val="center"/>
        </w:trPr>
        <w:tc>
          <w:tcPr>
            <w:tcW w:w="17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Občina </w:t>
            </w:r>
          </w:p>
        </w:tc>
        <w:tc>
          <w:tcPr>
            <w:tcW w:w="324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Število operacij</w:t>
            </w:r>
          </w:p>
        </w:tc>
        <w:tc>
          <w:tcPr>
            <w:tcW w:w="202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 Skupna vrednost </w:t>
            </w:r>
          </w:p>
        </w:tc>
        <w:tc>
          <w:tcPr>
            <w:tcW w:w="3800" w:type="dxa"/>
            <w:tcBorders>
              <w:top w:val="single" w:sz="4" w:space="0" w:color="auto"/>
              <w:left w:val="nil"/>
              <w:bottom w:val="single" w:sz="4" w:space="0" w:color="auto"/>
              <w:right w:val="single" w:sz="4" w:space="0" w:color="auto"/>
            </w:tcBorders>
            <w:shd w:val="clear" w:color="000000" w:fill="A9D08E"/>
            <w:noWrap/>
            <w:vAlign w:val="bottom"/>
            <w:hideMark/>
          </w:tcPr>
          <w:p w:rsidR="00E70678" w:rsidRPr="00E70678" w:rsidRDefault="00E70678" w:rsidP="008345E9">
            <w:pPr>
              <w:spacing w:after="0" w:line="240" w:lineRule="auto"/>
              <w:rPr>
                <w:rFonts w:ascii="Century Gothic" w:eastAsia="Times New Roman" w:hAnsi="Century Gothic" w:cs="Calibri"/>
                <w:b/>
                <w:bCs/>
                <w:color w:val="000000"/>
              </w:rPr>
            </w:pPr>
            <w:r w:rsidRPr="00E70678">
              <w:rPr>
                <w:rFonts w:ascii="Century Gothic" w:eastAsia="Times New Roman" w:hAnsi="Century Gothic" w:cs="Calibri"/>
                <w:b/>
                <w:bCs/>
                <w:color w:val="000000"/>
              </w:rPr>
              <w:t xml:space="preserve">Število novo ustvarjenih delovnih mest </w:t>
            </w:r>
          </w:p>
        </w:tc>
      </w:tr>
      <w:tr w:rsidR="00E70678" w:rsidRPr="00E70678" w:rsidTr="008345E9">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Hrastnik </w:t>
            </w:r>
          </w:p>
        </w:tc>
        <w:tc>
          <w:tcPr>
            <w:tcW w:w="324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4</w:t>
            </w:r>
          </w:p>
        </w:tc>
        <w:tc>
          <w:tcPr>
            <w:tcW w:w="2020" w:type="dxa"/>
            <w:tcBorders>
              <w:top w:val="nil"/>
              <w:left w:val="nil"/>
              <w:bottom w:val="nil"/>
              <w:right w:val="nil"/>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193.911,06</w:t>
            </w:r>
          </w:p>
        </w:tc>
        <w:tc>
          <w:tcPr>
            <w:tcW w:w="3800" w:type="dxa"/>
            <w:tcBorders>
              <w:top w:val="nil"/>
              <w:left w:val="single" w:sz="4" w:space="0" w:color="auto"/>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3</w:t>
            </w:r>
          </w:p>
        </w:tc>
      </w:tr>
      <w:tr w:rsidR="00E70678" w:rsidRPr="00E70678" w:rsidTr="008345E9">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Trbovlje </w:t>
            </w:r>
          </w:p>
        </w:tc>
        <w:tc>
          <w:tcPr>
            <w:tcW w:w="324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7</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337.148,39</w:t>
            </w:r>
          </w:p>
        </w:tc>
        <w:tc>
          <w:tcPr>
            <w:tcW w:w="38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4</w:t>
            </w:r>
          </w:p>
        </w:tc>
      </w:tr>
      <w:tr w:rsidR="00E70678" w:rsidRPr="00E70678" w:rsidTr="008345E9">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rPr>
                <w:rFonts w:ascii="Century Gothic" w:eastAsia="Times New Roman" w:hAnsi="Century Gothic" w:cs="Calibri"/>
                <w:color w:val="000000"/>
              </w:rPr>
            </w:pPr>
            <w:r w:rsidRPr="00E70678">
              <w:rPr>
                <w:rFonts w:ascii="Century Gothic" w:eastAsia="Times New Roman" w:hAnsi="Century Gothic" w:cs="Calibri"/>
                <w:color w:val="000000"/>
              </w:rPr>
              <w:t xml:space="preserve">Zagorje ob Savi </w:t>
            </w:r>
          </w:p>
        </w:tc>
        <w:tc>
          <w:tcPr>
            <w:tcW w:w="324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6</w:t>
            </w:r>
          </w:p>
        </w:tc>
        <w:tc>
          <w:tcPr>
            <w:tcW w:w="2020" w:type="dxa"/>
            <w:tcBorders>
              <w:top w:val="nil"/>
              <w:left w:val="nil"/>
              <w:bottom w:val="single" w:sz="4" w:space="0" w:color="auto"/>
              <w:right w:val="single" w:sz="4" w:space="0" w:color="auto"/>
            </w:tcBorders>
            <w:shd w:val="clear" w:color="auto" w:fill="auto"/>
            <w:noWrap/>
            <w:vAlign w:val="bottom"/>
            <w:hideMark/>
          </w:tcPr>
          <w:p w:rsidR="00E70678" w:rsidRPr="00E70678" w:rsidRDefault="00E70678" w:rsidP="008345E9">
            <w:pPr>
              <w:spacing w:after="0" w:line="240" w:lineRule="auto"/>
              <w:jc w:val="right"/>
              <w:rPr>
                <w:rFonts w:ascii="Century Gothic" w:eastAsia="Times New Roman" w:hAnsi="Century Gothic" w:cs="Calibri"/>
                <w:color w:val="000000"/>
              </w:rPr>
            </w:pPr>
            <w:r w:rsidRPr="00E70678">
              <w:rPr>
                <w:rFonts w:ascii="Century Gothic" w:eastAsia="Times New Roman" w:hAnsi="Century Gothic" w:cs="Calibri"/>
                <w:color w:val="000000"/>
              </w:rPr>
              <w:t>302.028,01</w:t>
            </w:r>
          </w:p>
        </w:tc>
        <w:tc>
          <w:tcPr>
            <w:tcW w:w="3800" w:type="dxa"/>
            <w:tcBorders>
              <w:top w:val="nil"/>
              <w:left w:val="nil"/>
              <w:bottom w:val="single" w:sz="4" w:space="0" w:color="auto"/>
              <w:right w:val="single" w:sz="4" w:space="0" w:color="auto"/>
            </w:tcBorders>
            <w:shd w:val="clear" w:color="auto" w:fill="auto"/>
            <w:vAlign w:val="bottom"/>
            <w:hideMark/>
          </w:tcPr>
          <w:p w:rsidR="00E70678" w:rsidRPr="00E70678" w:rsidRDefault="00E70678" w:rsidP="008345E9">
            <w:pPr>
              <w:spacing w:after="0" w:line="240" w:lineRule="auto"/>
              <w:jc w:val="center"/>
              <w:rPr>
                <w:rFonts w:ascii="Century Gothic" w:eastAsia="Times New Roman" w:hAnsi="Century Gothic" w:cs="Calibri"/>
                <w:color w:val="000000"/>
              </w:rPr>
            </w:pPr>
            <w:r w:rsidRPr="00E70678">
              <w:rPr>
                <w:rFonts w:ascii="Century Gothic" w:eastAsia="Times New Roman" w:hAnsi="Century Gothic" w:cs="Calibri"/>
                <w:color w:val="000000"/>
              </w:rPr>
              <w:t>3</w:t>
            </w:r>
          </w:p>
        </w:tc>
      </w:tr>
      <w:tr w:rsidR="00E70678" w:rsidRPr="00E70678" w:rsidTr="008345E9">
        <w:trPr>
          <w:trHeight w:val="300"/>
          <w:jc w:val="center"/>
        </w:trPr>
        <w:tc>
          <w:tcPr>
            <w:tcW w:w="176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rPr>
                <w:rFonts w:ascii="Century Gothic" w:eastAsia="Times New Roman" w:hAnsi="Century Gothic" w:cs="Calibri"/>
                <w:b/>
                <w:color w:val="000000"/>
              </w:rPr>
            </w:pPr>
            <w:r w:rsidRPr="00E70678">
              <w:rPr>
                <w:rFonts w:ascii="Century Gothic" w:eastAsia="Times New Roman" w:hAnsi="Century Gothic" w:cs="Calibri"/>
                <w:b/>
                <w:color w:val="000000"/>
              </w:rPr>
              <w:t xml:space="preserve">SKUPAJ: </w:t>
            </w:r>
          </w:p>
        </w:tc>
        <w:tc>
          <w:tcPr>
            <w:tcW w:w="3240" w:type="dxa"/>
            <w:tcBorders>
              <w:top w:val="nil"/>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center"/>
              <w:rPr>
                <w:rFonts w:ascii="Century Gothic" w:eastAsia="Times New Roman" w:hAnsi="Century Gothic" w:cs="Calibri"/>
                <w:b/>
                <w:color w:val="000000"/>
              </w:rPr>
            </w:pPr>
            <w:r w:rsidRPr="00E70678">
              <w:rPr>
                <w:rFonts w:ascii="Century Gothic" w:eastAsia="Times New Roman" w:hAnsi="Century Gothic" w:cs="Calibri"/>
                <w:b/>
                <w:color w:val="000000"/>
              </w:rPr>
              <w:t>17</w:t>
            </w:r>
          </w:p>
        </w:tc>
        <w:tc>
          <w:tcPr>
            <w:tcW w:w="2020" w:type="dxa"/>
            <w:tcBorders>
              <w:top w:val="nil"/>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right"/>
              <w:rPr>
                <w:rFonts w:ascii="Century Gothic" w:eastAsia="Times New Roman" w:hAnsi="Century Gothic" w:cs="Calibri"/>
                <w:b/>
                <w:color w:val="000000"/>
              </w:rPr>
            </w:pPr>
            <w:r w:rsidRPr="00E70678">
              <w:rPr>
                <w:rFonts w:ascii="Century Gothic" w:eastAsia="Times New Roman" w:hAnsi="Century Gothic" w:cs="Calibri"/>
                <w:b/>
                <w:color w:val="000000"/>
              </w:rPr>
              <w:t>833.087,46</w:t>
            </w:r>
          </w:p>
        </w:tc>
        <w:tc>
          <w:tcPr>
            <w:tcW w:w="3800" w:type="dxa"/>
            <w:tcBorders>
              <w:top w:val="nil"/>
              <w:left w:val="nil"/>
              <w:bottom w:val="single" w:sz="4" w:space="0" w:color="auto"/>
              <w:right w:val="single" w:sz="4" w:space="0" w:color="auto"/>
            </w:tcBorders>
            <w:shd w:val="clear" w:color="auto" w:fill="A8D08D" w:themeFill="accent6" w:themeFillTint="99"/>
            <w:noWrap/>
            <w:vAlign w:val="bottom"/>
            <w:hideMark/>
          </w:tcPr>
          <w:p w:rsidR="00E70678" w:rsidRPr="00E70678" w:rsidRDefault="00E70678" w:rsidP="008345E9">
            <w:pPr>
              <w:spacing w:after="0" w:line="240" w:lineRule="auto"/>
              <w:jc w:val="center"/>
              <w:rPr>
                <w:rFonts w:ascii="Century Gothic" w:eastAsia="Times New Roman" w:hAnsi="Century Gothic" w:cs="Calibri"/>
                <w:b/>
                <w:color w:val="000000"/>
              </w:rPr>
            </w:pPr>
            <w:r w:rsidRPr="00E70678">
              <w:rPr>
                <w:rFonts w:ascii="Century Gothic" w:eastAsia="Times New Roman" w:hAnsi="Century Gothic" w:cs="Calibri"/>
                <w:b/>
                <w:color w:val="000000"/>
              </w:rPr>
              <w:t>10</w:t>
            </w:r>
          </w:p>
        </w:tc>
      </w:tr>
    </w:tbl>
    <w:p w:rsidR="00E70678" w:rsidRDefault="00E70678"/>
    <w:sectPr w:rsidR="00E706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4C6" w:rsidRDefault="00AC24C6" w:rsidP="00E70678">
      <w:pPr>
        <w:spacing w:after="0" w:line="240" w:lineRule="auto"/>
      </w:pPr>
      <w:r>
        <w:separator/>
      </w:r>
    </w:p>
  </w:endnote>
  <w:endnote w:type="continuationSeparator" w:id="0">
    <w:p w:rsidR="00AC24C6" w:rsidRDefault="00AC24C6" w:rsidP="00E7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8" w:rsidRDefault="00E70678" w:rsidP="00E70678">
    <w:pPr>
      <w:pStyle w:val="Noga"/>
      <w:jc w:val="center"/>
    </w:pPr>
    <w:r w:rsidRPr="00D12818">
      <w:rPr>
        <w:noProof/>
      </w:rPr>
      <w:drawing>
        <wp:inline distT="0" distB="0" distL="0" distR="0" wp14:anchorId="1E94F6F9" wp14:editId="53D367DB">
          <wp:extent cx="2381250" cy="1177914"/>
          <wp:effectExtent l="0" t="0" r="0" b="3810"/>
          <wp:docPr id="2" name="Picture 4" descr="pren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n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060" cy="11985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4C6" w:rsidRDefault="00AC24C6" w:rsidP="00E70678">
      <w:pPr>
        <w:spacing w:after="0" w:line="240" w:lineRule="auto"/>
      </w:pPr>
      <w:r>
        <w:separator/>
      </w:r>
    </w:p>
  </w:footnote>
  <w:footnote w:type="continuationSeparator" w:id="0">
    <w:p w:rsidR="00AC24C6" w:rsidRDefault="00AC24C6" w:rsidP="00E7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78" w:rsidRDefault="00E70678" w:rsidP="00E70678">
    <w:pPr>
      <w:pStyle w:val="Glava"/>
      <w:jc w:val="center"/>
    </w:pPr>
    <w:r>
      <w:rPr>
        <w:noProof/>
      </w:rPr>
      <w:drawing>
        <wp:inline distT="0" distB="0" distL="0" distR="0" wp14:anchorId="1237E5A4" wp14:editId="05718FF6">
          <wp:extent cx="685800" cy="74762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174" cy="763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7E0D"/>
    <w:multiLevelType w:val="hybridMultilevel"/>
    <w:tmpl w:val="BD8AEA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78"/>
    <w:rsid w:val="00AC24C6"/>
    <w:rsid w:val="00E70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4906C"/>
  <w15:chartTrackingRefBased/>
  <w15:docId w15:val="{207345E0-647A-454E-AB39-9432C84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678"/>
    <w:rPr>
      <w:rFonts w:eastAsiaTheme="minorEastAs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70678"/>
    <w:pPr>
      <w:tabs>
        <w:tab w:val="center" w:pos="4536"/>
        <w:tab w:val="right" w:pos="9072"/>
      </w:tabs>
      <w:spacing w:after="0" w:line="240" w:lineRule="auto"/>
    </w:pPr>
  </w:style>
  <w:style w:type="character" w:customStyle="1" w:styleId="GlavaZnak">
    <w:name w:val="Glava Znak"/>
    <w:basedOn w:val="Privzetapisavaodstavka"/>
    <w:link w:val="Glava"/>
    <w:uiPriority w:val="99"/>
    <w:rsid w:val="00E70678"/>
    <w:rPr>
      <w:rFonts w:eastAsiaTheme="minorEastAsia" w:cs="Times New Roman"/>
      <w:lang w:eastAsia="sl-SI"/>
    </w:rPr>
  </w:style>
  <w:style w:type="paragraph" w:styleId="Noga">
    <w:name w:val="footer"/>
    <w:basedOn w:val="Navaden"/>
    <w:link w:val="NogaZnak"/>
    <w:uiPriority w:val="99"/>
    <w:unhideWhenUsed/>
    <w:rsid w:val="00E70678"/>
    <w:pPr>
      <w:tabs>
        <w:tab w:val="center" w:pos="4536"/>
        <w:tab w:val="right" w:pos="9072"/>
      </w:tabs>
      <w:spacing w:after="0" w:line="240" w:lineRule="auto"/>
    </w:pPr>
  </w:style>
  <w:style w:type="character" w:customStyle="1" w:styleId="NogaZnak">
    <w:name w:val="Noga Znak"/>
    <w:basedOn w:val="Privzetapisavaodstavka"/>
    <w:link w:val="Noga"/>
    <w:uiPriority w:val="99"/>
    <w:rsid w:val="00E70678"/>
    <w:rPr>
      <w:rFonts w:eastAsiaTheme="minorEastAsia" w:cs="Times New Roman"/>
      <w:lang w:eastAsia="sl-SI"/>
    </w:rPr>
  </w:style>
  <w:style w:type="paragraph" w:styleId="Odstavekseznama">
    <w:name w:val="List Paragraph"/>
    <w:basedOn w:val="Navaden"/>
    <w:uiPriority w:val="34"/>
    <w:qFormat/>
    <w:rsid w:val="00E7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1235</Words>
  <Characters>7041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dc:creator>
  <cp:keywords/>
  <dc:description/>
  <cp:lastModifiedBy>Maša</cp:lastModifiedBy>
  <cp:revision>1</cp:revision>
  <dcterms:created xsi:type="dcterms:W3CDTF">2019-07-04T06:02:00Z</dcterms:created>
  <dcterms:modified xsi:type="dcterms:W3CDTF">2019-07-04T06:12:00Z</dcterms:modified>
</cp:coreProperties>
</file>